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alt="E93328CB-6642-47A4-A402-F473F27C727D" style="width:451.5pt;height:366pt">
            <v:imagedata r:id="rId9" o:title=""/>
          </v:shape>
        </w:pict>
      </w:r>
    </w:p>
    <w:bookmarkEnd w:id="0"/>
    <w:p>
      <w:pPr>
        <w:rPr>
          <w:noProof/>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60"/>
        </w:sectPr>
      </w:pPr>
    </w:p>
    <w:bookmarkStart w:id="1" w:name="_GoBack" w:displacedByCustomXml="next"/>
    <w:bookmarkEnd w:id="1" w:displacedByCustomXml="next"/>
    <w:bookmarkStart w:id="2" w:name="_Toc512441755" w:displacedByCustomXml="next"/>
    <w:sdt>
      <w:sdtPr>
        <w:rPr>
          <w:rFonts w:asciiTheme="minorHAnsi" w:eastAsiaTheme="minorHAnsi" w:hAnsiTheme="minorHAnsi" w:cstheme="minorBidi"/>
          <w:b w:val="0"/>
          <w:bCs w:val="0"/>
          <w:noProof/>
          <w:color w:val="auto"/>
          <w:sz w:val="22"/>
          <w:szCs w:val="22"/>
          <w:lang w:val="en-GB" w:eastAsia="en-US"/>
        </w:rPr>
        <w:id w:val="569616085"/>
        <w:docPartObj>
          <w:docPartGallery w:val="Table of Contents"/>
          <w:docPartUnique/>
        </w:docPartObj>
      </w:sdtPr>
      <w:sdtContent>
        <w:p>
          <w:pPr>
            <w:pStyle w:val="TOCHeading"/>
            <w:rPr>
              <w:noProof/>
            </w:rPr>
          </w:pPr>
          <w:r>
            <w:rPr>
              <w:noProof/>
            </w:rPr>
            <w:t>Table of Contents</w:t>
          </w:r>
        </w:p>
        <w:p>
          <w:pPr>
            <w:pStyle w:val="TOC1"/>
            <w:tabs>
              <w:tab w:val="right" w:leader="dot" w:pos="9062"/>
            </w:tabs>
            <w:rPr>
              <w:noProof/>
            </w:rPr>
          </w:pPr>
          <w:r>
            <w:rPr>
              <w:noProof/>
            </w:rPr>
            <w:fldChar w:fldCharType="begin"/>
          </w:r>
          <w:r>
            <w:rPr>
              <w:noProof/>
            </w:rPr>
            <w:instrText xml:space="preserve"> TOC \o "1-3" \h \z \u </w:instrText>
          </w:r>
          <w:r>
            <w:rPr>
              <w:noProof/>
            </w:rPr>
            <w:fldChar w:fldCharType="separate"/>
          </w:r>
          <w:hyperlink w:anchor="_Toc512444208" w:history="1">
            <w:r>
              <w:rPr>
                <w:rStyle w:val="Hyperlink"/>
                <w:rFonts w:ascii="Times New Roman" w:eastAsiaTheme="majorEastAsia" w:hAnsi="Times New Roman"/>
                <w:b/>
                <w:bCs/>
                <w:noProof/>
              </w:rPr>
              <w:t>ANNEX</w:t>
            </w:r>
            <w:r>
              <w:rPr>
                <w:noProof/>
                <w:webHidden/>
              </w:rPr>
              <w:tab/>
            </w:r>
            <w:r>
              <w:rPr>
                <w:noProof/>
                <w:webHidden/>
              </w:rPr>
              <w:fldChar w:fldCharType="begin"/>
            </w:r>
            <w:r>
              <w:rPr>
                <w:noProof/>
                <w:webHidden/>
              </w:rPr>
              <w:instrText xml:space="preserve"> PAGEREF _Toc512444208 \h </w:instrText>
            </w:r>
            <w:r>
              <w:rPr>
                <w:noProof/>
                <w:webHidden/>
              </w:rPr>
            </w:r>
            <w:r>
              <w:rPr>
                <w:noProof/>
                <w:webHidden/>
              </w:rPr>
              <w:fldChar w:fldCharType="separate"/>
            </w:r>
            <w:r>
              <w:rPr>
                <w:noProof/>
                <w:webHidden/>
              </w:rPr>
              <w:t>1</w:t>
            </w:r>
            <w:r>
              <w:rPr>
                <w:noProof/>
                <w:webHidden/>
              </w:rPr>
              <w:fldChar w:fldCharType="end"/>
            </w:r>
          </w:hyperlink>
        </w:p>
        <w:p>
          <w:pPr>
            <w:pStyle w:val="TOC1"/>
            <w:tabs>
              <w:tab w:val="right" w:leader="dot" w:pos="9062"/>
            </w:tabs>
            <w:rPr>
              <w:noProof/>
            </w:rPr>
          </w:pPr>
          <w:hyperlink w:anchor="_Toc512444209" w:history="1">
            <w:r>
              <w:rPr>
                <w:rStyle w:val="Hyperlink"/>
                <w:rFonts w:ascii="Times New Roman" w:eastAsiaTheme="majorEastAsia" w:hAnsi="Times New Roman"/>
                <w:b/>
                <w:bCs/>
                <w:noProof/>
              </w:rPr>
              <w:t>Analytical graphs from the 2017 Key Data on Teaching Languages at School in Europe</w:t>
            </w:r>
            <w:r>
              <w:rPr>
                <w:noProof/>
                <w:webHidden/>
              </w:rPr>
              <w:tab/>
            </w:r>
            <w:r>
              <w:rPr>
                <w:noProof/>
                <w:webHidden/>
              </w:rPr>
              <w:fldChar w:fldCharType="begin"/>
            </w:r>
            <w:r>
              <w:rPr>
                <w:noProof/>
                <w:webHidden/>
              </w:rPr>
              <w:instrText xml:space="preserve"> PAGEREF _Toc512444209 \h </w:instrText>
            </w:r>
            <w:r>
              <w:rPr>
                <w:noProof/>
                <w:webHidden/>
              </w:rPr>
            </w:r>
            <w:r>
              <w:rPr>
                <w:noProof/>
                <w:webHidden/>
              </w:rPr>
              <w:fldChar w:fldCharType="separate"/>
            </w:r>
            <w:r>
              <w:rPr>
                <w:noProof/>
                <w:webHidden/>
              </w:rPr>
              <w:t>1</w:t>
            </w:r>
            <w:r>
              <w:rPr>
                <w:noProof/>
                <w:webHidden/>
              </w:rPr>
              <w:fldChar w:fldCharType="end"/>
            </w:r>
          </w:hyperlink>
        </w:p>
        <w:p>
          <w:pPr>
            <w:rPr>
              <w:noProof/>
            </w:rPr>
          </w:pPr>
          <w:r>
            <w:rPr>
              <w:b/>
              <w:bCs/>
              <w:noProof/>
            </w:rPr>
            <w:fldChar w:fldCharType="end"/>
          </w:r>
        </w:p>
      </w:sdtContent>
    </w:sdt>
    <w:p>
      <w:pPr>
        <w:spacing w:before="120" w:after="120" w:line="240" w:lineRule="auto"/>
        <w:jc w:val="both"/>
        <w:outlineLvl w:val="0"/>
        <w:rPr>
          <w:rFonts w:ascii="Times New Roman" w:eastAsiaTheme="majorEastAsia" w:hAnsi="Times New Roman" w:cs="Times New Roman"/>
          <w:b/>
          <w:bCs/>
          <w:noProof/>
          <w:color w:val="365F91" w:themeColor="accent1" w:themeShade="BF"/>
          <w:sz w:val="24"/>
          <w:szCs w:val="24"/>
        </w:rPr>
        <w:sectPr>
          <w:headerReference w:type="even" r:id="rId16"/>
          <w:headerReference w:type="default" r:id="rId17"/>
          <w:footerReference w:type="even" r:id="rId18"/>
          <w:footerReference w:type="default" r:id="rId19"/>
          <w:headerReference w:type="first" r:id="rId20"/>
          <w:footerReference w:type="first" r:id="rId21"/>
          <w:pgSz w:w="11906" w:h="16838"/>
          <w:pgMar w:top="1134" w:right="1417" w:bottom="1134" w:left="1417" w:header="709" w:footer="709" w:gutter="0"/>
          <w:cols w:space="720"/>
          <w:docGrid w:linePitch="360"/>
        </w:sectPr>
      </w:pPr>
      <w:bookmarkStart w:id="3" w:name="_Toc512444208"/>
    </w:p>
    <w:p>
      <w:pPr>
        <w:spacing w:before="120" w:after="120" w:line="240" w:lineRule="auto"/>
        <w:jc w:val="both"/>
        <w:outlineLvl w:val="0"/>
        <w:rPr>
          <w:rFonts w:ascii="Times New Roman" w:eastAsiaTheme="majorEastAsia" w:hAnsi="Times New Roman" w:cs="Times New Roman"/>
          <w:b/>
          <w:bCs/>
          <w:noProof/>
          <w:color w:val="365F91" w:themeColor="accent1" w:themeShade="BF"/>
          <w:sz w:val="24"/>
          <w:szCs w:val="24"/>
        </w:rPr>
      </w:pPr>
      <w:r>
        <w:rPr>
          <w:rFonts w:ascii="Times New Roman" w:eastAsiaTheme="majorEastAsia" w:hAnsi="Times New Roman" w:cs="Times New Roman"/>
          <w:b/>
          <w:bCs/>
          <w:noProof/>
          <w:color w:val="365F91" w:themeColor="accent1" w:themeShade="BF"/>
          <w:sz w:val="24"/>
          <w:szCs w:val="24"/>
        </w:rPr>
        <w:lastRenderedPageBreak/>
        <w:t>ANNEX</w:t>
      </w:r>
      <w:bookmarkEnd w:id="3"/>
      <w:bookmarkEnd w:id="2"/>
    </w:p>
    <w:p>
      <w:pPr>
        <w:spacing w:before="120" w:after="120" w:line="240" w:lineRule="auto"/>
        <w:jc w:val="both"/>
        <w:outlineLvl w:val="0"/>
        <w:rPr>
          <w:rFonts w:ascii="Times New Roman" w:eastAsiaTheme="majorEastAsia" w:hAnsi="Times New Roman" w:cs="Times New Roman"/>
          <w:b/>
          <w:bCs/>
          <w:noProof/>
          <w:color w:val="365F91" w:themeColor="accent1" w:themeShade="BF"/>
          <w:sz w:val="24"/>
          <w:szCs w:val="24"/>
        </w:rPr>
      </w:pPr>
      <w:bookmarkStart w:id="4" w:name="_Toc512441756"/>
      <w:bookmarkStart w:id="5" w:name="_Toc512444209"/>
      <w:r>
        <w:rPr>
          <w:rFonts w:ascii="Times New Roman" w:eastAsiaTheme="majorEastAsia" w:hAnsi="Times New Roman" w:cs="Times New Roman"/>
          <w:b/>
          <w:bCs/>
          <w:noProof/>
          <w:color w:val="365F91" w:themeColor="accent1" w:themeShade="BF"/>
          <w:sz w:val="24"/>
          <w:szCs w:val="24"/>
        </w:rPr>
        <w:t>Analytical graphs from the 2017 Key Data on Teaching Languages at School in Europe</w:t>
      </w:r>
      <w:bookmarkEnd w:id="4"/>
      <w:bookmarkEnd w:id="5"/>
    </w:p>
    <w:p>
      <w:pPr>
        <w:autoSpaceDE w:val="0"/>
        <w:autoSpaceDN w:val="0"/>
        <w:adjustRightInd w:val="0"/>
        <w:spacing w:after="0" w:line="240" w:lineRule="auto"/>
        <w:jc w:val="center"/>
        <w:rPr>
          <w:rFonts w:ascii="EC Square Sans Pro" w:hAnsi="EC Square Sans Pro" w:cs="Arial,Bold"/>
          <w:b/>
          <w:bCs/>
          <w:noProof/>
          <w:sz w:val="20"/>
          <w:szCs w:val="20"/>
        </w:rPr>
      </w:pPr>
    </w:p>
    <w:p>
      <w:pPr>
        <w:autoSpaceDE w:val="0"/>
        <w:autoSpaceDN w:val="0"/>
        <w:adjustRightInd w:val="0"/>
        <w:spacing w:after="0" w:line="240" w:lineRule="auto"/>
        <w:jc w:val="center"/>
        <w:rPr>
          <w:rFonts w:ascii="EC Square Sans Pro" w:hAnsi="EC Square Sans Pro" w:cs="Arial,Bold"/>
          <w:b/>
          <w:bCs/>
          <w:noProof/>
          <w:sz w:val="20"/>
          <w:szCs w:val="20"/>
        </w:rPr>
      </w:pPr>
    </w:p>
    <w:p>
      <w:pPr>
        <w:autoSpaceDE w:val="0"/>
        <w:autoSpaceDN w:val="0"/>
        <w:adjustRightInd w:val="0"/>
        <w:spacing w:after="0" w:line="240" w:lineRule="auto"/>
        <w:jc w:val="center"/>
        <w:rPr>
          <w:rFonts w:ascii="EC Square Sans Pro" w:hAnsi="EC Square Sans Pro" w:cs="Arial,Bold"/>
          <w:b/>
          <w:bCs/>
          <w:noProof/>
          <w:sz w:val="20"/>
          <w:szCs w:val="20"/>
        </w:rPr>
      </w:pPr>
    </w:p>
    <w:p>
      <w:pPr>
        <w:autoSpaceDE w:val="0"/>
        <w:autoSpaceDN w:val="0"/>
        <w:adjustRightInd w:val="0"/>
        <w:spacing w:after="0" w:line="240" w:lineRule="auto"/>
        <w:jc w:val="center"/>
        <w:rPr>
          <w:rFonts w:ascii="EC Square Sans Pro" w:hAnsi="EC Square Sans Pro" w:cs="Arial,Bold"/>
          <w:b/>
          <w:bCs/>
          <w:noProof/>
          <w:sz w:val="20"/>
          <w:szCs w:val="20"/>
        </w:rPr>
      </w:pPr>
    </w:p>
    <w:p>
      <w:pPr>
        <w:autoSpaceDE w:val="0"/>
        <w:autoSpaceDN w:val="0"/>
        <w:adjustRightInd w:val="0"/>
        <w:spacing w:after="0" w:line="240" w:lineRule="auto"/>
        <w:jc w:val="center"/>
        <w:rPr>
          <w:rFonts w:ascii="EC Square Sans Pro" w:hAnsi="EC Square Sans Pro" w:cs="Arial,Bold"/>
          <w:b/>
          <w:bCs/>
          <w:noProof/>
          <w:sz w:val="20"/>
          <w:szCs w:val="20"/>
        </w:rPr>
      </w:pPr>
    </w:p>
    <w:p>
      <w:pPr>
        <w:autoSpaceDE w:val="0"/>
        <w:autoSpaceDN w:val="0"/>
        <w:adjustRightInd w:val="0"/>
        <w:spacing w:after="0" w:line="240" w:lineRule="auto"/>
        <w:jc w:val="center"/>
        <w:rPr>
          <w:rFonts w:ascii="EC Square Sans Pro" w:hAnsi="EC Square Sans Pro" w:cs="Arial,Bold"/>
          <w:b/>
          <w:bCs/>
          <w:noProof/>
          <w:sz w:val="20"/>
          <w:szCs w:val="20"/>
        </w:rPr>
      </w:pPr>
      <w:r>
        <w:rPr>
          <w:rFonts w:ascii="EC Square Sans Pro" w:hAnsi="EC Square Sans Pro" w:cs="Arial,Bold"/>
          <w:b/>
          <w:bCs/>
          <w:noProof/>
          <w:sz w:val="20"/>
          <w:szCs w:val="20"/>
        </w:rPr>
        <w:t>Figure 1: Average number of foreign languages learnt per student, primary and secondary education (ISCED 1-3), 2014</w:t>
      </w:r>
    </w:p>
    <w:p>
      <w:pPr>
        <w:autoSpaceDE w:val="0"/>
        <w:autoSpaceDN w:val="0"/>
        <w:adjustRightInd w:val="0"/>
        <w:spacing w:after="0" w:line="240" w:lineRule="auto"/>
        <w:jc w:val="both"/>
        <w:rPr>
          <w:rFonts w:ascii="EC Square Sans Pro" w:hAnsi="EC Square Sans Pro" w:cs="Arial,Bold"/>
          <w:b/>
          <w:bCs/>
          <w:noProof/>
          <w:sz w:val="20"/>
          <w:szCs w:val="20"/>
        </w:rPr>
      </w:pPr>
    </w:p>
    <w:p>
      <w:pPr>
        <w:autoSpaceDE w:val="0"/>
        <w:autoSpaceDN w:val="0"/>
        <w:adjustRightInd w:val="0"/>
        <w:spacing w:after="0" w:line="240" w:lineRule="auto"/>
        <w:jc w:val="center"/>
        <w:rPr>
          <w:rFonts w:ascii="EC Square Sans Pro" w:hAnsi="EC Square Sans Pro" w:cs="Arial"/>
          <w:noProof/>
          <w:sz w:val="20"/>
          <w:szCs w:val="20"/>
        </w:rPr>
      </w:pPr>
      <w:r>
        <w:rPr>
          <w:rFonts w:ascii="EC Square Sans Pro" w:hAnsi="EC Square Sans Pro"/>
          <w:noProof/>
          <w:sz w:val="20"/>
          <w:szCs w:val="20"/>
          <w:lang w:val="en-US"/>
        </w:rPr>
        <w:drawing>
          <wp:inline distT="0" distB="0" distL="0" distR="0">
            <wp:extent cx="5756239" cy="324413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4602" t="39155" r="15681" b="11032"/>
                    <a:stretch/>
                  </pic:blipFill>
                  <pic:spPr bwMode="auto">
                    <a:xfrm>
                      <a:off x="0" y="0"/>
                      <a:ext cx="5780894" cy="3258027"/>
                    </a:xfrm>
                    <a:prstGeom prst="rect">
                      <a:avLst/>
                    </a:prstGeom>
                    <a:ln>
                      <a:noFill/>
                    </a:ln>
                    <a:extLst>
                      <a:ext uri="{53640926-AAD7-44D8-BBD7-CCE9431645EC}">
                        <a14:shadowObscured xmlns:a14="http://schemas.microsoft.com/office/drawing/2010/main"/>
                      </a:ext>
                    </a:extLst>
                  </pic:spPr>
                </pic:pic>
              </a:graphicData>
            </a:graphic>
          </wp:inline>
        </w:drawing>
      </w:r>
    </w:p>
    <w:p>
      <w:pPr>
        <w:autoSpaceDE w:val="0"/>
        <w:autoSpaceDN w:val="0"/>
        <w:adjustRightInd w:val="0"/>
        <w:spacing w:after="0" w:line="240" w:lineRule="auto"/>
        <w:jc w:val="both"/>
        <w:rPr>
          <w:rFonts w:ascii="EC Square Sans Pro" w:hAnsi="EC Square Sans Pro" w:cs="Arial,Italic"/>
          <w:i/>
          <w:iCs/>
          <w:noProof/>
          <w:sz w:val="20"/>
          <w:szCs w:val="20"/>
        </w:rPr>
      </w:pPr>
    </w:p>
    <w:p>
      <w:pPr>
        <w:jc w:val="both"/>
        <w:rPr>
          <w:rFonts w:ascii="Times New Roman" w:hAnsi="Times New Roman" w:cs="Times New Roman"/>
          <w:noProof/>
          <w:sz w:val="20"/>
          <w:szCs w:val="20"/>
        </w:rPr>
      </w:pPr>
      <w:r>
        <w:rPr>
          <w:rFonts w:ascii="Times New Roman" w:hAnsi="Times New Roman" w:cs="Times New Roman"/>
          <w:i/>
          <w:noProof/>
          <w:sz w:val="20"/>
          <w:szCs w:val="20"/>
        </w:rPr>
        <w:t>Source</w:t>
      </w:r>
      <w:r>
        <w:rPr>
          <w:rFonts w:ascii="Times New Roman" w:hAnsi="Times New Roman" w:cs="Times New Roman"/>
          <w:noProof/>
          <w:sz w:val="20"/>
          <w:szCs w:val="20"/>
        </w:rPr>
        <w:t xml:space="preserve">: Country specific notes: </w:t>
      </w:r>
      <w:r>
        <w:rPr>
          <w:rFonts w:ascii="Times New Roman" w:hAnsi="Times New Roman" w:cs="Times New Roman"/>
          <w:i/>
          <w:noProof/>
          <w:sz w:val="20"/>
          <w:szCs w:val="20"/>
        </w:rPr>
        <w:t>European Commission/EACEA/Eurydice (2017), Key Data on Teaching Languages at School in Europe, 2017</w:t>
      </w:r>
      <w:r>
        <w:rPr>
          <w:rFonts w:ascii="Times New Roman" w:hAnsi="Times New Roman" w:cs="Times New Roman"/>
          <w:noProof/>
          <w:sz w:val="20"/>
          <w:szCs w:val="20"/>
        </w:rPr>
        <w:t>, page 69</w:t>
      </w:r>
    </w:p>
    <w:p>
      <w:pPr>
        <w:jc w:val="both"/>
        <w:rPr>
          <w:rFonts w:ascii="Times New Roman" w:hAnsi="Times New Roman" w:cs="Times New Roman"/>
          <w:noProof/>
          <w:sz w:val="24"/>
          <w:szCs w:val="24"/>
        </w:rPr>
      </w:pPr>
      <w:r>
        <w:rPr>
          <w:rFonts w:ascii="Times New Roman" w:hAnsi="Times New Roman" w:cs="Times New Roman"/>
          <w:i/>
          <w:noProof/>
          <w:sz w:val="24"/>
          <w:szCs w:val="24"/>
        </w:rPr>
        <w:t>Explanatory note</w:t>
      </w:r>
      <w:r>
        <w:rPr>
          <w:rFonts w:ascii="Times New Roman" w:hAnsi="Times New Roman" w:cs="Times New Roman"/>
          <w:noProof/>
          <w:sz w:val="24"/>
          <w:szCs w:val="24"/>
        </w:rPr>
        <w:t>: The average number of foreign languages learnt is calculated with respect to all students in all years of the education level concerned, regardless of whether they are learning one or more foreign languages in all grades.</w:t>
      </w:r>
    </w:p>
    <w:p>
      <w:pPr>
        <w:jc w:val="center"/>
        <w:rPr>
          <w:rFonts w:ascii="EC Square Sans Pro" w:hAnsi="EC Square Sans Pro"/>
          <w:b/>
          <w:noProof/>
          <w:sz w:val="20"/>
          <w:szCs w:val="20"/>
          <w:lang w:eastAsia="en-GB"/>
        </w:rPr>
        <w:sectPr>
          <w:headerReference w:type="even" r:id="rId23"/>
          <w:headerReference w:type="default" r:id="rId24"/>
          <w:footerReference w:type="even" r:id="rId25"/>
          <w:footerReference w:type="default" r:id="rId26"/>
          <w:headerReference w:type="first" r:id="rId27"/>
          <w:footerReference w:type="first" r:id="rId28"/>
          <w:pgSz w:w="11906" w:h="16838"/>
          <w:pgMar w:top="1134" w:right="1417" w:bottom="1134" w:left="1417" w:header="709" w:footer="709" w:gutter="0"/>
          <w:cols w:space="720"/>
          <w:docGrid w:linePitch="360"/>
        </w:sectPr>
      </w:pPr>
    </w:p>
    <w:p>
      <w:pPr>
        <w:jc w:val="center"/>
        <w:rPr>
          <w:rFonts w:ascii="EC Square Sans Pro" w:hAnsi="EC Square Sans Pro"/>
          <w:b/>
          <w:noProof/>
          <w:sz w:val="20"/>
          <w:szCs w:val="20"/>
          <w:lang w:eastAsia="en-GB"/>
        </w:rPr>
      </w:pPr>
      <w:r>
        <w:rPr>
          <w:rFonts w:ascii="EC Square Sans Pro" w:hAnsi="EC Square Sans Pro"/>
          <w:b/>
          <w:noProof/>
          <w:sz w:val="20"/>
          <w:szCs w:val="20"/>
          <w:lang w:eastAsia="en-GB"/>
        </w:rPr>
        <w:t>Figure 2: Starting ages at which the first and second foreign languages are compulsory subjects for all students in pre-primary, primary and/or general secondary education, 2015/16</w:t>
      </w:r>
    </w:p>
    <w:p>
      <w:pPr>
        <w:jc w:val="center"/>
        <w:rPr>
          <w:rFonts w:ascii="EC Square Sans Pro" w:hAnsi="EC Square Sans Pro"/>
          <w:noProof/>
          <w:sz w:val="20"/>
          <w:szCs w:val="20"/>
        </w:rPr>
      </w:pPr>
      <w:r>
        <w:rPr>
          <w:rFonts w:ascii="EC Square Sans Pro" w:hAnsi="EC Square Sans Pro"/>
          <w:noProof/>
          <w:sz w:val="20"/>
          <w:szCs w:val="20"/>
          <w:lang w:val="en-US"/>
        </w:rPr>
        <w:drawing>
          <wp:inline distT="0" distB="0" distL="0" distR="0">
            <wp:extent cx="5502302" cy="5077289"/>
            <wp:effectExtent l="0" t="0" r="317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40153" t="32487" r="22636" b="6469"/>
                    <a:stretch/>
                  </pic:blipFill>
                  <pic:spPr bwMode="auto">
                    <a:xfrm>
                      <a:off x="0" y="0"/>
                      <a:ext cx="5553355" cy="5124398"/>
                    </a:xfrm>
                    <a:prstGeom prst="rect">
                      <a:avLst/>
                    </a:prstGeom>
                    <a:ln>
                      <a:noFill/>
                    </a:ln>
                    <a:extLst>
                      <a:ext uri="{53640926-AAD7-44D8-BBD7-CCE9431645EC}">
                        <a14:shadowObscured xmlns:a14="http://schemas.microsoft.com/office/drawing/2010/main"/>
                      </a:ext>
                    </a:extLst>
                  </pic:spPr>
                </pic:pic>
              </a:graphicData>
            </a:graphic>
          </wp:inline>
        </w:drawing>
      </w:r>
    </w:p>
    <w:p>
      <w:pPr>
        <w:jc w:val="both"/>
        <w:rPr>
          <w:rFonts w:ascii="Times New Roman" w:hAnsi="Times New Roman" w:cs="Times New Roman"/>
          <w:noProof/>
          <w:sz w:val="20"/>
          <w:szCs w:val="20"/>
        </w:rPr>
      </w:pPr>
      <w:r>
        <w:rPr>
          <w:rFonts w:ascii="Times New Roman" w:hAnsi="Times New Roman" w:cs="Times New Roman"/>
          <w:i/>
          <w:noProof/>
          <w:sz w:val="20"/>
          <w:szCs w:val="20"/>
        </w:rPr>
        <w:t>Source</w:t>
      </w:r>
      <w:r>
        <w:rPr>
          <w:rFonts w:ascii="Times New Roman" w:hAnsi="Times New Roman" w:cs="Times New Roman"/>
          <w:noProof/>
          <w:sz w:val="20"/>
          <w:szCs w:val="20"/>
        </w:rPr>
        <w:t xml:space="preserve">: Country specific notes: European Commission/EACEA/Eurydice (2017), </w:t>
      </w:r>
      <w:r>
        <w:rPr>
          <w:rFonts w:ascii="Times New Roman" w:hAnsi="Times New Roman" w:cs="Times New Roman"/>
          <w:i/>
          <w:noProof/>
          <w:sz w:val="20"/>
          <w:szCs w:val="20"/>
        </w:rPr>
        <w:t>Key Data on Teaching Languages at School in Europe, 2017</w:t>
      </w:r>
      <w:r>
        <w:rPr>
          <w:rFonts w:ascii="Times New Roman" w:hAnsi="Times New Roman" w:cs="Times New Roman"/>
          <w:noProof/>
          <w:sz w:val="20"/>
          <w:szCs w:val="20"/>
        </w:rPr>
        <w:t>, page 30</w:t>
      </w:r>
    </w:p>
    <w:p>
      <w:pPr>
        <w:jc w:val="both"/>
        <w:rPr>
          <w:rFonts w:ascii="Times New Roman" w:hAnsi="Times New Roman" w:cs="Times New Roman"/>
          <w:noProof/>
          <w:sz w:val="24"/>
          <w:szCs w:val="24"/>
        </w:rPr>
      </w:pPr>
      <w:r>
        <w:rPr>
          <w:rFonts w:ascii="Times New Roman" w:hAnsi="Times New Roman" w:cs="Times New Roman"/>
          <w:i/>
          <w:noProof/>
          <w:sz w:val="24"/>
          <w:szCs w:val="24"/>
        </w:rPr>
        <w:t>Explanatory note</w:t>
      </w:r>
      <w:r>
        <w:rPr>
          <w:rFonts w:ascii="Times New Roman" w:hAnsi="Times New Roman" w:cs="Times New Roman"/>
          <w:noProof/>
          <w:sz w:val="24"/>
          <w:szCs w:val="24"/>
        </w:rPr>
        <w:t xml:space="preserve">: This Figure deals primarily with languages described as 'foreign' (or 'modern') in the curriculum. Regional and/or minority languages (see Figure B12) and classical languages (see Figure B13) are included only when the curriculum designates them as alternatives to foreign languages. The starting ages reflect the normal age of students when foreign language teaching begins; they do not take into account early or late entry to school, grade repetition or other interruptions to schooling (students' notional age). </w:t>
      </w:r>
    </w:p>
    <w:p>
      <w:pPr>
        <w:jc w:val="both"/>
        <w:rPr>
          <w:rFonts w:ascii="Times New Roman" w:hAnsi="Times New Roman" w:cs="Times New Roman"/>
          <w:noProof/>
          <w:sz w:val="24"/>
          <w:szCs w:val="24"/>
        </w:rPr>
      </w:pPr>
      <w:r>
        <w:rPr>
          <w:rFonts w:ascii="Times New Roman" w:hAnsi="Times New Roman" w:cs="Times New Roman"/>
          <w:noProof/>
          <w:sz w:val="24"/>
          <w:szCs w:val="24"/>
        </w:rPr>
        <w:t>'Phasing in' means that the reforms are being implemented in 2015/16. Where implementation does not begin until after this academic year, the reforms are reported solely in the text. 'Second language' means a language learned by students in addition to the first, which results in students learning two different languages at the same time.</w:t>
      </w:r>
    </w:p>
    <w:p>
      <w:pPr>
        <w:jc w:val="both"/>
        <w:rPr>
          <w:rFonts w:ascii="EC Square Sans Pro" w:hAnsi="EC Square Sans Pro"/>
          <w:noProof/>
          <w:sz w:val="20"/>
          <w:szCs w:val="20"/>
        </w:rPr>
      </w:pPr>
    </w:p>
    <w:p>
      <w:pPr>
        <w:jc w:val="both"/>
        <w:rPr>
          <w:rFonts w:ascii="EC Square Sans Pro" w:hAnsi="EC Square Sans Pro"/>
          <w:noProof/>
          <w:sz w:val="20"/>
          <w:szCs w:val="20"/>
        </w:rPr>
      </w:pPr>
    </w:p>
    <w:p>
      <w:pPr>
        <w:jc w:val="center"/>
        <w:rPr>
          <w:rFonts w:ascii="EC Square Sans Pro" w:hAnsi="EC Square Sans Pro"/>
          <w:b/>
          <w:noProof/>
          <w:sz w:val="20"/>
          <w:szCs w:val="20"/>
          <w:lang w:eastAsia="en-GB"/>
        </w:rPr>
      </w:pPr>
      <w:r>
        <w:rPr>
          <w:rFonts w:ascii="EC Square Sans Pro" w:hAnsi="EC Square Sans Pro"/>
          <w:b/>
          <w:noProof/>
          <w:sz w:val="20"/>
          <w:szCs w:val="20"/>
          <w:lang w:eastAsia="en-GB"/>
        </w:rPr>
        <w:t>Figure 3 : Period during which learning a foreign language is compulsory in pre-primary, primary and/or general secondary education, 2002/03, 2010/11, 2015/16</w:t>
      </w:r>
    </w:p>
    <w:p>
      <w:pPr>
        <w:jc w:val="center"/>
        <w:rPr>
          <w:rFonts w:ascii="EC Square Sans Pro" w:hAnsi="EC Square Sans Pro"/>
          <w:noProof/>
          <w:sz w:val="20"/>
          <w:szCs w:val="20"/>
        </w:rPr>
      </w:pPr>
      <w:r>
        <w:rPr>
          <w:rFonts w:ascii="EC Square Sans Pro" w:hAnsi="EC Square Sans Pro"/>
          <w:noProof/>
          <w:sz w:val="20"/>
          <w:szCs w:val="20"/>
          <w:lang w:val="en-US"/>
        </w:rPr>
        <w:drawing>
          <wp:inline distT="0" distB="0" distL="0" distR="0">
            <wp:extent cx="5255812" cy="4557032"/>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7667" t="23581" r="19467" b="10345"/>
                    <a:stretch/>
                  </pic:blipFill>
                  <pic:spPr bwMode="auto">
                    <a:xfrm>
                      <a:off x="0" y="0"/>
                      <a:ext cx="5281177" cy="4579024"/>
                    </a:xfrm>
                    <a:prstGeom prst="rect">
                      <a:avLst/>
                    </a:prstGeom>
                    <a:ln>
                      <a:noFill/>
                    </a:ln>
                    <a:extLst>
                      <a:ext uri="{53640926-AAD7-44D8-BBD7-CCE9431645EC}">
                        <a14:shadowObscured xmlns:a14="http://schemas.microsoft.com/office/drawing/2010/main"/>
                      </a:ext>
                    </a:extLst>
                  </pic:spPr>
                </pic:pic>
              </a:graphicData>
            </a:graphic>
          </wp:inline>
        </w:drawing>
      </w:r>
    </w:p>
    <w:p>
      <w:pPr>
        <w:jc w:val="both"/>
        <w:rPr>
          <w:rFonts w:ascii="Times New Roman" w:hAnsi="Times New Roman" w:cs="Times New Roman"/>
          <w:noProof/>
          <w:sz w:val="20"/>
          <w:szCs w:val="20"/>
        </w:rPr>
      </w:pPr>
      <w:r>
        <w:rPr>
          <w:rFonts w:ascii="Times New Roman" w:hAnsi="Times New Roman" w:cs="Times New Roman"/>
          <w:i/>
          <w:iCs/>
          <w:noProof/>
          <w:sz w:val="20"/>
          <w:szCs w:val="20"/>
        </w:rPr>
        <w:t xml:space="preserve">Source: </w:t>
      </w:r>
      <w:r>
        <w:rPr>
          <w:rFonts w:ascii="Times New Roman" w:hAnsi="Times New Roman" w:cs="Times New Roman"/>
          <w:noProof/>
          <w:sz w:val="20"/>
          <w:szCs w:val="20"/>
        </w:rPr>
        <w:t xml:space="preserve">Country specific notes: European Commission/EACEA/Eurydice (2017), </w:t>
      </w:r>
      <w:r>
        <w:rPr>
          <w:rFonts w:ascii="Times New Roman" w:hAnsi="Times New Roman" w:cs="Times New Roman"/>
          <w:i/>
          <w:noProof/>
          <w:sz w:val="20"/>
          <w:szCs w:val="20"/>
        </w:rPr>
        <w:t>Key Data on Teaching Languages at School in Europe, 2017</w:t>
      </w:r>
      <w:r>
        <w:rPr>
          <w:rFonts w:ascii="Times New Roman" w:hAnsi="Times New Roman" w:cs="Times New Roman"/>
          <w:noProof/>
          <w:sz w:val="20"/>
          <w:szCs w:val="20"/>
        </w:rPr>
        <w:t>, page 32</w:t>
      </w:r>
    </w:p>
    <w:p>
      <w:pPr>
        <w:jc w:val="both"/>
        <w:rPr>
          <w:rFonts w:ascii="Times New Roman" w:hAnsi="Times New Roman" w:cs="Times New Roman"/>
          <w:noProof/>
          <w:sz w:val="24"/>
          <w:szCs w:val="24"/>
        </w:rPr>
      </w:pPr>
      <w:r>
        <w:rPr>
          <w:rFonts w:ascii="Times New Roman" w:hAnsi="Times New Roman" w:cs="Times New Roman"/>
          <w:i/>
          <w:noProof/>
          <w:sz w:val="24"/>
          <w:szCs w:val="24"/>
        </w:rPr>
        <w:t>Explanatory note</w:t>
      </w:r>
      <w:r>
        <w:rPr>
          <w:rFonts w:ascii="Times New Roman" w:hAnsi="Times New Roman" w:cs="Times New Roman"/>
          <w:noProof/>
          <w:sz w:val="24"/>
          <w:szCs w:val="24"/>
        </w:rPr>
        <w:t>: This Figure deals primarily with languages described as 'foreign' (or 'modern') in the curriculum. Regional and/or minority languages (see Figure B12) and classical languages (see Figure B13) are included only when the curriculum designates them as alternatives to foreign languages.</w:t>
      </w:r>
    </w:p>
    <w:p>
      <w:pPr>
        <w:jc w:val="both"/>
        <w:rPr>
          <w:rFonts w:ascii="Times New Roman" w:hAnsi="Times New Roman" w:cs="Times New Roman"/>
          <w:noProof/>
          <w:sz w:val="24"/>
          <w:szCs w:val="24"/>
        </w:rPr>
      </w:pPr>
      <w:r>
        <w:rPr>
          <w:rFonts w:ascii="Times New Roman" w:hAnsi="Times New Roman" w:cs="Times New Roman"/>
          <w:noProof/>
          <w:sz w:val="24"/>
          <w:szCs w:val="24"/>
        </w:rPr>
        <w:t>The starting age refers to the first compulsory foreign language and reflects the normal age of students (students' notional age); it does not take into account early or late entry to school, grade repetition or other interruptions to schooling. The duration of provision refers to any language learnt.</w:t>
      </w:r>
    </w:p>
    <w:p>
      <w:pPr>
        <w:jc w:val="both"/>
        <w:rPr>
          <w:rFonts w:ascii="Times New Roman" w:hAnsi="Times New Roman" w:cs="Times New Roman"/>
          <w:noProof/>
          <w:sz w:val="24"/>
          <w:szCs w:val="24"/>
        </w:rPr>
      </w:pPr>
      <w:r>
        <w:rPr>
          <w:rFonts w:ascii="Times New Roman" w:hAnsi="Times New Roman" w:cs="Times New Roman"/>
          <w:noProof/>
          <w:sz w:val="24"/>
          <w:szCs w:val="24"/>
        </w:rPr>
        <w:t>For 2015/16 when the measure is 'being phased in', this is indicated. However, for the years 2003 and 2011, even if a reform were being phased in at this time, it is not shown.</w:t>
      </w:r>
    </w:p>
    <w:p>
      <w:pPr>
        <w:jc w:val="center"/>
        <w:rPr>
          <w:rFonts w:ascii="EC Square Sans Pro" w:hAnsi="EC Square Sans Pro"/>
          <w:noProof/>
          <w:sz w:val="20"/>
          <w:szCs w:val="20"/>
        </w:rPr>
      </w:pPr>
    </w:p>
    <w:p>
      <w:pPr>
        <w:jc w:val="center"/>
        <w:rPr>
          <w:rFonts w:ascii="EC Square Sans Pro" w:hAnsi="EC Square Sans Pro"/>
          <w:noProof/>
          <w:sz w:val="20"/>
          <w:szCs w:val="20"/>
          <w:lang w:eastAsia="en-GB"/>
        </w:rPr>
      </w:pPr>
      <w:r>
        <w:rPr>
          <w:rFonts w:ascii="EC Square Sans Pro" w:hAnsi="EC Square Sans Pro"/>
          <w:b/>
          <w:noProof/>
          <w:sz w:val="20"/>
          <w:szCs w:val="20"/>
        </w:rPr>
        <w:t xml:space="preserve">Table 1: Mandatory foreign languages taught during compulsory education, 2002/03, 2010/11, 2015/16 </w:t>
      </w:r>
    </w:p>
    <w:p>
      <w:pPr>
        <w:jc w:val="center"/>
        <w:rPr>
          <w:rFonts w:ascii="EC Square Sans Pro" w:hAnsi="EC Square Sans Pro"/>
          <w:noProof/>
          <w:sz w:val="20"/>
          <w:szCs w:val="20"/>
        </w:rPr>
      </w:pPr>
      <w:r>
        <w:rPr>
          <w:rFonts w:ascii="Times New Roman" w:hAnsi="Times New Roman"/>
          <w:noProof/>
          <w:sz w:val="20"/>
          <w:szCs w:val="20"/>
          <w:lang w:val="en-US"/>
        </w:rPr>
        <w:drawing>
          <wp:inline distT="0" distB="0" distL="0" distR="0">
            <wp:extent cx="5579197" cy="1987826"/>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0821" t="46361" r="22168" b="17526"/>
                    <a:stretch/>
                  </pic:blipFill>
                  <pic:spPr bwMode="auto">
                    <a:xfrm>
                      <a:off x="0" y="0"/>
                      <a:ext cx="5610064" cy="1998824"/>
                    </a:xfrm>
                    <a:prstGeom prst="rect">
                      <a:avLst/>
                    </a:prstGeom>
                    <a:ln>
                      <a:noFill/>
                    </a:ln>
                    <a:extLst>
                      <a:ext uri="{53640926-AAD7-44D8-BBD7-CCE9431645EC}">
                        <a14:shadowObscured xmlns:a14="http://schemas.microsoft.com/office/drawing/2010/main"/>
                      </a:ext>
                    </a:extLst>
                  </pic:spPr>
                </pic:pic>
              </a:graphicData>
            </a:graphic>
          </wp:inline>
        </w:drawing>
      </w:r>
    </w:p>
    <w:p>
      <w:pPr>
        <w:jc w:val="both"/>
        <w:rPr>
          <w:rFonts w:ascii="Times New Roman" w:hAnsi="Times New Roman" w:cs="Times New Roman"/>
          <w:noProof/>
          <w:sz w:val="20"/>
          <w:szCs w:val="20"/>
        </w:rPr>
      </w:pPr>
      <w:r>
        <w:rPr>
          <w:rFonts w:ascii="Times New Roman" w:hAnsi="Times New Roman" w:cs="Times New Roman"/>
          <w:i/>
          <w:noProof/>
          <w:sz w:val="20"/>
          <w:szCs w:val="20"/>
        </w:rPr>
        <w:t>Source</w:t>
      </w:r>
      <w:r>
        <w:rPr>
          <w:rFonts w:ascii="Times New Roman" w:hAnsi="Times New Roman" w:cs="Times New Roman"/>
          <w:noProof/>
          <w:sz w:val="20"/>
          <w:szCs w:val="20"/>
        </w:rPr>
        <w:t xml:space="preserve">: Country specific notes: European Commission/EACEA/Eurydice (2017), </w:t>
      </w:r>
      <w:r>
        <w:rPr>
          <w:rFonts w:ascii="Times New Roman" w:hAnsi="Times New Roman" w:cs="Times New Roman"/>
          <w:i/>
          <w:noProof/>
          <w:sz w:val="20"/>
          <w:szCs w:val="20"/>
        </w:rPr>
        <w:t>Key Data on Teaching Languages at School in Europe, 2017</w:t>
      </w:r>
      <w:r>
        <w:rPr>
          <w:rFonts w:ascii="Times New Roman" w:hAnsi="Times New Roman" w:cs="Times New Roman"/>
          <w:noProof/>
          <w:sz w:val="20"/>
          <w:szCs w:val="20"/>
        </w:rPr>
        <w:t>, page 44</w:t>
      </w:r>
    </w:p>
    <w:p>
      <w:pPr>
        <w:jc w:val="both"/>
        <w:rPr>
          <w:rFonts w:ascii="Times New Roman" w:hAnsi="Times New Roman" w:cs="Times New Roman"/>
          <w:noProof/>
          <w:sz w:val="24"/>
          <w:szCs w:val="24"/>
        </w:rPr>
      </w:pPr>
      <w:r>
        <w:rPr>
          <w:rFonts w:ascii="Times New Roman" w:hAnsi="Times New Roman" w:cs="Times New Roman"/>
          <w:i/>
          <w:noProof/>
          <w:sz w:val="24"/>
          <w:szCs w:val="24"/>
        </w:rPr>
        <w:t>Explanatory note</w:t>
      </w:r>
      <w:r>
        <w:rPr>
          <w:rFonts w:ascii="Times New Roman" w:hAnsi="Times New Roman" w:cs="Times New Roman"/>
          <w:noProof/>
          <w:sz w:val="24"/>
          <w:szCs w:val="24"/>
        </w:rPr>
        <w:t>: A foreign language is indicated where it is mandatory for at least one school year during full-time compulsory education and applies to all students irrespective of their type of school or education pathway. Where several specific mandatory languages exist, their position in the cells above corresponds to the order in which they are learnt.</w:t>
      </w:r>
    </w:p>
    <w:p>
      <w:pPr>
        <w:jc w:val="both"/>
        <w:rPr>
          <w:rFonts w:ascii="EC Square Sans Pro" w:hAnsi="EC Square Sans Pro"/>
          <w:b/>
          <w:noProof/>
          <w:sz w:val="20"/>
          <w:szCs w:val="20"/>
        </w:rPr>
      </w:pPr>
      <w:r>
        <w:rPr>
          <w:rFonts w:ascii="EC Square Sans Pro" w:hAnsi="EC Square Sans Pro"/>
          <w:noProof/>
          <w:sz w:val="20"/>
          <w:szCs w:val="20"/>
        </w:rPr>
        <w:t>.</w:t>
      </w:r>
      <w:r>
        <w:rPr>
          <w:rFonts w:ascii="EC Square Sans Pro" w:hAnsi="EC Square Sans Pro"/>
          <w:b/>
          <w:noProof/>
          <w:sz w:val="20"/>
          <w:szCs w:val="20"/>
        </w:rPr>
        <w:t>Figure 4: The second most learnt foreign language, primary and secondary education (ISCED 1-3), 2014</w:t>
      </w:r>
    </w:p>
    <w:p>
      <w:pPr>
        <w:jc w:val="center"/>
        <w:rPr>
          <w:rFonts w:ascii="EC Square Sans Pro" w:hAnsi="EC Square Sans Pro"/>
          <w:b/>
          <w:noProof/>
          <w:sz w:val="20"/>
          <w:szCs w:val="20"/>
        </w:rPr>
      </w:pPr>
      <w:r>
        <w:rPr>
          <w:rFonts w:ascii="Times New Roman" w:hAnsi="Times New Roman"/>
          <w:noProof/>
          <w:sz w:val="20"/>
          <w:szCs w:val="20"/>
          <w:lang w:val="en-US"/>
        </w:rPr>
        <w:drawing>
          <wp:inline distT="0" distB="0" distL="0" distR="0">
            <wp:extent cx="5422790" cy="2692707"/>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8449" t="46356" r="16704" b="14054"/>
                    <a:stretch/>
                  </pic:blipFill>
                  <pic:spPr bwMode="auto">
                    <a:xfrm>
                      <a:off x="0" y="0"/>
                      <a:ext cx="5464377" cy="2713357"/>
                    </a:xfrm>
                    <a:prstGeom prst="rect">
                      <a:avLst/>
                    </a:prstGeom>
                    <a:ln>
                      <a:noFill/>
                    </a:ln>
                    <a:extLst>
                      <a:ext uri="{53640926-AAD7-44D8-BBD7-CCE9431645EC}">
                        <a14:shadowObscured xmlns:a14="http://schemas.microsoft.com/office/drawing/2010/main"/>
                      </a:ext>
                    </a:extLst>
                  </pic:spPr>
                </pic:pic>
              </a:graphicData>
            </a:graphic>
          </wp:inline>
        </w:drawing>
      </w:r>
    </w:p>
    <w:p>
      <w:pPr>
        <w:jc w:val="both"/>
        <w:rPr>
          <w:rFonts w:ascii="Times New Roman" w:hAnsi="Times New Roman" w:cs="Times New Roman"/>
          <w:noProof/>
          <w:sz w:val="20"/>
          <w:szCs w:val="20"/>
        </w:rPr>
      </w:pPr>
      <w:r>
        <w:rPr>
          <w:rFonts w:ascii="Times New Roman" w:hAnsi="Times New Roman" w:cs="Times New Roman"/>
          <w:i/>
          <w:noProof/>
          <w:sz w:val="20"/>
          <w:szCs w:val="20"/>
        </w:rPr>
        <w:t>Source</w:t>
      </w:r>
      <w:r>
        <w:rPr>
          <w:rFonts w:ascii="Times New Roman" w:hAnsi="Times New Roman" w:cs="Times New Roman"/>
          <w:noProof/>
          <w:sz w:val="20"/>
          <w:szCs w:val="20"/>
        </w:rPr>
        <w:t xml:space="preserve">: European Commission/EACEA/Eurydice (2017), </w:t>
      </w:r>
      <w:r>
        <w:rPr>
          <w:rFonts w:ascii="Times New Roman" w:hAnsi="Times New Roman" w:cs="Times New Roman"/>
          <w:i/>
          <w:noProof/>
          <w:sz w:val="20"/>
          <w:szCs w:val="20"/>
        </w:rPr>
        <w:t>Key Data on Teaching Languages at School in Europe, 2017</w:t>
      </w:r>
      <w:r>
        <w:rPr>
          <w:rFonts w:ascii="Times New Roman" w:hAnsi="Times New Roman" w:cs="Times New Roman"/>
          <w:noProof/>
          <w:sz w:val="20"/>
          <w:szCs w:val="20"/>
        </w:rPr>
        <w:t>, page 74</w:t>
      </w:r>
    </w:p>
    <w:p>
      <w:pPr>
        <w:jc w:val="both"/>
        <w:rPr>
          <w:rFonts w:ascii="Times New Roman" w:hAnsi="Times New Roman" w:cs="Times New Roman"/>
          <w:noProof/>
          <w:sz w:val="24"/>
          <w:szCs w:val="24"/>
        </w:rPr>
      </w:pPr>
      <w:r>
        <w:rPr>
          <w:rFonts w:ascii="Times New Roman" w:hAnsi="Times New Roman" w:cs="Times New Roman"/>
          <w:i/>
          <w:noProof/>
          <w:sz w:val="24"/>
          <w:szCs w:val="24"/>
        </w:rPr>
        <w:t>Explanatory note</w:t>
      </w:r>
      <w:r>
        <w:rPr>
          <w:rFonts w:ascii="Times New Roman" w:hAnsi="Times New Roman" w:cs="Times New Roman"/>
          <w:noProof/>
          <w:sz w:val="24"/>
          <w:szCs w:val="24"/>
        </w:rPr>
        <w:t>: In most countries, the second most learnt foreign language is the same language in all the education levels covered (ISCED 1, ISCED 2 and ISCED 3). These countries are shown in the main area of the relevant language circle/oval. Where the second most learnt foreign language learnt varies depending on the level of education, the country is shown in the intersection of the relevant languages. The Figure only takes into account languages learnt by more than 10 % of students.</w:t>
      </w:r>
    </w:p>
    <w:p>
      <w:pPr>
        <w:jc w:val="center"/>
        <w:rPr>
          <w:rFonts w:ascii="EC Square Sans Pro" w:hAnsi="EC Square Sans Pro"/>
          <w:b/>
          <w:noProof/>
          <w:sz w:val="20"/>
          <w:szCs w:val="20"/>
        </w:rPr>
      </w:pPr>
      <w:r>
        <w:rPr>
          <w:rFonts w:ascii="EC Square Sans Pro" w:hAnsi="EC Square Sans Pro"/>
          <w:b/>
          <w:noProof/>
          <w:sz w:val="20"/>
          <w:szCs w:val="20"/>
        </w:rPr>
        <w:t>Figure 5: Minimum duration and level of initial teacher education of specialist or semi-specialist foreign language teachers in primary and general secondary education, 2015/16</w:t>
      </w:r>
    </w:p>
    <w:p>
      <w:pPr>
        <w:jc w:val="center"/>
        <w:rPr>
          <w:rFonts w:ascii="EC Square Sans Pro" w:hAnsi="EC Square Sans Pro"/>
          <w:noProof/>
          <w:sz w:val="20"/>
          <w:szCs w:val="20"/>
        </w:rPr>
      </w:pPr>
      <w:r>
        <w:rPr>
          <w:rFonts w:ascii="EC Square Sans Pro" w:hAnsi="EC Square Sans Pro"/>
          <w:noProof/>
          <w:sz w:val="20"/>
          <w:szCs w:val="20"/>
          <w:lang w:val="en-US"/>
        </w:rPr>
        <w:drawing>
          <wp:inline distT="0" distB="0" distL="0" distR="0">
            <wp:extent cx="5112689" cy="5695314"/>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7902" t="12016" r="20429" b="5462"/>
                    <a:stretch/>
                  </pic:blipFill>
                  <pic:spPr bwMode="auto">
                    <a:xfrm>
                      <a:off x="0" y="0"/>
                      <a:ext cx="5137022" cy="5722420"/>
                    </a:xfrm>
                    <a:prstGeom prst="rect">
                      <a:avLst/>
                    </a:prstGeom>
                    <a:ln>
                      <a:noFill/>
                    </a:ln>
                    <a:extLst>
                      <a:ext uri="{53640926-AAD7-44D8-BBD7-CCE9431645EC}">
                        <a14:shadowObscured xmlns:a14="http://schemas.microsoft.com/office/drawing/2010/main"/>
                      </a:ext>
                    </a:extLst>
                  </pic:spPr>
                </pic:pic>
              </a:graphicData>
            </a:graphic>
          </wp:inline>
        </w:drawing>
      </w:r>
    </w:p>
    <w:p>
      <w:pPr>
        <w:jc w:val="both"/>
        <w:rPr>
          <w:rFonts w:ascii="Times New Roman" w:hAnsi="Times New Roman" w:cs="Times New Roman"/>
          <w:noProof/>
          <w:sz w:val="20"/>
          <w:szCs w:val="20"/>
        </w:rPr>
      </w:pPr>
      <w:r>
        <w:rPr>
          <w:rFonts w:ascii="Times New Roman" w:hAnsi="Times New Roman" w:cs="Times New Roman"/>
          <w:i/>
          <w:noProof/>
          <w:sz w:val="20"/>
          <w:szCs w:val="20"/>
        </w:rPr>
        <w:t>Source</w:t>
      </w:r>
      <w:r>
        <w:rPr>
          <w:rFonts w:ascii="Times New Roman" w:hAnsi="Times New Roman" w:cs="Times New Roman"/>
          <w:noProof/>
          <w:sz w:val="20"/>
          <w:szCs w:val="20"/>
        </w:rPr>
        <w:t xml:space="preserve">: European Commission/EACEA/Eurydice (2017), </w:t>
      </w:r>
      <w:r>
        <w:rPr>
          <w:rFonts w:ascii="Times New Roman" w:hAnsi="Times New Roman" w:cs="Times New Roman"/>
          <w:i/>
          <w:noProof/>
          <w:sz w:val="20"/>
          <w:szCs w:val="20"/>
        </w:rPr>
        <w:t>Key Data on Teaching Languages at School in Europe, 2017</w:t>
      </w:r>
      <w:r>
        <w:rPr>
          <w:rFonts w:ascii="Times New Roman" w:hAnsi="Times New Roman" w:cs="Times New Roman"/>
          <w:noProof/>
          <w:sz w:val="20"/>
          <w:szCs w:val="20"/>
        </w:rPr>
        <w:t>, page 90</w:t>
      </w:r>
    </w:p>
    <w:p>
      <w:pPr>
        <w:jc w:val="both"/>
        <w:rPr>
          <w:rFonts w:ascii="Times New Roman" w:hAnsi="Times New Roman" w:cs="Times New Roman"/>
          <w:noProof/>
          <w:sz w:val="24"/>
          <w:szCs w:val="24"/>
        </w:rPr>
        <w:sectPr>
          <w:headerReference w:type="even" r:id="rId34"/>
          <w:headerReference w:type="default" r:id="rId35"/>
          <w:footerReference w:type="even" r:id="rId36"/>
          <w:footerReference w:type="default" r:id="rId37"/>
          <w:headerReference w:type="first" r:id="rId38"/>
          <w:footerReference w:type="first" r:id="rId39"/>
          <w:pgSz w:w="11906" w:h="16838"/>
          <w:pgMar w:top="1134" w:right="1417" w:bottom="1134" w:left="1417" w:header="709" w:footer="709" w:gutter="0"/>
          <w:cols w:space="720"/>
          <w:docGrid w:linePitch="360"/>
        </w:sectPr>
      </w:pPr>
      <w:r>
        <w:rPr>
          <w:rFonts w:ascii="Times New Roman" w:hAnsi="Times New Roman" w:cs="Times New Roman"/>
          <w:i/>
          <w:noProof/>
          <w:sz w:val="24"/>
          <w:szCs w:val="24"/>
        </w:rPr>
        <w:t>Explanatory note</w:t>
      </w:r>
      <w:r>
        <w:rPr>
          <w:rFonts w:ascii="Times New Roman" w:hAnsi="Times New Roman" w:cs="Times New Roman"/>
          <w:noProof/>
          <w:sz w:val="24"/>
          <w:szCs w:val="24"/>
        </w:rPr>
        <w:t>: In some education systems, there are no central recommendations on the degree of specialisation or they only mention generalist teachers for one or more education levels (see Figures D1 and D2). If, in practice, specialist and/or semi specialist teachers have been recruited at the education level(s) concerned during the reference year, the minimum duration and education level of initial teacher education of these teachers is represented in the Figure.</w:t>
      </w:r>
    </w:p>
    <w:p>
      <w:pPr>
        <w:jc w:val="center"/>
        <w:rPr>
          <w:rFonts w:ascii="EC Square Sans Pro" w:hAnsi="EC Square Sans Pro"/>
          <w:b/>
          <w:noProof/>
          <w:sz w:val="20"/>
          <w:szCs w:val="20"/>
        </w:rPr>
      </w:pPr>
      <w:r>
        <w:rPr>
          <w:rFonts w:ascii="EC Square Sans Pro" w:hAnsi="EC Square Sans Pro"/>
          <w:b/>
          <w:noProof/>
          <w:sz w:val="20"/>
          <w:szCs w:val="20"/>
        </w:rPr>
        <w:t>Figure 6: Existence of central recommendations on ITE content and a period to be spent in the target language country for prospective foreign language teachers, 2015/16</w:t>
      </w:r>
    </w:p>
    <w:p>
      <w:pPr>
        <w:jc w:val="center"/>
        <w:rPr>
          <w:rFonts w:ascii="EC Square Sans Pro" w:hAnsi="EC Square Sans Pro"/>
          <w:noProof/>
          <w:sz w:val="20"/>
          <w:szCs w:val="20"/>
        </w:rPr>
      </w:pPr>
      <w:r>
        <w:rPr>
          <w:rFonts w:ascii="EC Square Sans Pro" w:hAnsi="EC Square Sans Pro"/>
          <w:noProof/>
          <w:sz w:val="20"/>
          <w:szCs w:val="20"/>
          <w:lang w:val="en-US"/>
        </w:rPr>
        <w:drawing>
          <wp:inline distT="0" distB="0" distL="0" distR="0">
            <wp:extent cx="5212231" cy="2690037"/>
            <wp:effectExtent l="0" t="0" r="7620" b="0"/>
            <wp:docPr id="7" name="Picture 7" descr="\\NET1.cec.eu.int\homes\102\plonsag\Desktop\jezyki raport\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T1.cec.eu.int\homes\102\plonsag\Desktop\jezyki raport\Untitled.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66575" cy="2718084"/>
                    </a:xfrm>
                    <a:prstGeom prst="rect">
                      <a:avLst/>
                    </a:prstGeom>
                    <a:noFill/>
                    <a:ln>
                      <a:noFill/>
                    </a:ln>
                  </pic:spPr>
                </pic:pic>
              </a:graphicData>
            </a:graphic>
          </wp:inline>
        </w:drawing>
      </w:r>
    </w:p>
    <w:p>
      <w:pPr>
        <w:jc w:val="both"/>
        <w:rPr>
          <w:rFonts w:ascii="Times New Roman" w:hAnsi="Times New Roman" w:cs="Times New Roman"/>
          <w:noProof/>
          <w:sz w:val="20"/>
          <w:szCs w:val="20"/>
        </w:rPr>
      </w:pPr>
      <w:r>
        <w:rPr>
          <w:rFonts w:ascii="Times New Roman" w:hAnsi="Times New Roman" w:cs="Times New Roman"/>
          <w:i/>
          <w:noProof/>
          <w:sz w:val="20"/>
          <w:szCs w:val="20"/>
        </w:rPr>
        <w:t>Source</w:t>
      </w:r>
      <w:r>
        <w:rPr>
          <w:rFonts w:ascii="Times New Roman" w:hAnsi="Times New Roman" w:cs="Times New Roman"/>
          <w:noProof/>
          <w:sz w:val="20"/>
          <w:szCs w:val="20"/>
        </w:rPr>
        <w:t xml:space="preserve">: European Commission/EACEA/Eurydice (2017), </w:t>
      </w:r>
      <w:r>
        <w:rPr>
          <w:rFonts w:ascii="Times New Roman" w:hAnsi="Times New Roman" w:cs="Times New Roman"/>
          <w:i/>
          <w:noProof/>
          <w:sz w:val="20"/>
          <w:szCs w:val="20"/>
        </w:rPr>
        <w:t>Key Data on Teaching Languages at School in Europe, 2017</w:t>
      </w:r>
      <w:r>
        <w:rPr>
          <w:rFonts w:ascii="Times New Roman" w:hAnsi="Times New Roman" w:cs="Times New Roman"/>
          <w:noProof/>
          <w:sz w:val="20"/>
          <w:szCs w:val="20"/>
        </w:rPr>
        <w:t>, page 98</w:t>
      </w:r>
    </w:p>
    <w:p>
      <w:pPr>
        <w:jc w:val="both"/>
        <w:rPr>
          <w:rFonts w:ascii="Times New Roman" w:hAnsi="Times New Roman" w:cs="Times New Roman"/>
          <w:noProof/>
          <w:sz w:val="24"/>
          <w:szCs w:val="24"/>
        </w:rPr>
      </w:pPr>
      <w:r>
        <w:rPr>
          <w:rFonts w:ascii="Times New Roman" w:hAnsi="Times New Roman" w:cs="Times New Roman"/>
          <w:i/>
          <w:noProof/>
          <w:sz w:val="24"/>
          <w:szCs w:val="24"/>
        </w:rPr>
        <w:t>Explanatory note</w:t>
      </w:r>
      <w:r>
        <w:rPr>
          <w:rFonts w:ascii="Times New Roman" w:hAnsi="Times New Roman" w:cs="Times New Roman"/>
          <w:noProof/>
          <w:sz w:val="24"/>
          <w:szCs w:val="24"/>
        </w:rPr>
        <w:t>: Where recommendations on the content of initial teacher education exist for at least one type of foreign language teacher (i.e. generalist, specialist or semi-specialist teachers) or one educational level, the country is classified, depending on the situation, either under the category 'Recommendations exist AND specify that a period should be spent in the target language' or the category 'Recommendations exist BUT do not specify that a period should be spent in the target language'. Where foreign language teachers spend a period of time in a country or region in which the language to be taught (target language) is spoken, this may include time spent in a school (as an assistant), at a university (attending courses) or on work placements. The aim is to give prospective teachers direct contact with the language they will teach and the culture of the country concerned.</w:t>
      </w:r>
    </w:p>
    <w:p>
      <w:pPr>
        <w:jc w:val="center"/>
        <w:rPr>
          <w:rFonts w:ascii="EC Square Sans Pro" w:hAnsi="EC Square Sans Pro"/>
          <w:b/>
          <w:noProof/>
          <w:sz w:val="20"/>
          <w:szCs w:val="20"/>
          <w:lang w:eastAsia="en-GB"/>
        </w:rPr>
      </w:pPr>
      <w:r>
        <w:rPr>
          <w:rFonts w:ascii="EC Square Sans Pro" w:hAnsi="EC Square Sans Pro"/>
          <w:b/>
          <w:noProof/>
          <w:sz w:val="20"/>
          <w:szCs w:val="20"/>
          <w:lang w:eastAsia="en-GB"/>
        </w:rPr>
        <w:t>Figure 7: Proportion of modern foreign language teachers in lower secondary education who have been abroad for professional purposes with support from a transnational mobility programme, 2013</w:t>
      </w:r>
    </w:p>
    <w:p>
      <w:pPr>
        <w:jc w:val="center"/>
        <w:rPr>
          <w:rFonts w:ascii="EC Square Sans Pro" w:hAnsi="EC Square Sans Pro"/>
          <w:noProof/>
          <w:sz w:val="20"/>
          <w:szCs w:val="20"/>
        </w:rPr>
      </w:pPr>
      <w:r>
        <w:rPr>
          <w:rFonts w:ascii="EC Square Sans Pro" w:hAnsi="EC Square Sans Pro"/>
          <w:noProof/>
          <w:sz w:val="20"/>
          <w:szCs w:val="20"/>
          <w:lang w:val="en-US"/>
        </w:rPr>
        <w:drawing>
          <wp:inline distT="0" distB="0" distL="0" distR="0">
            <wp:extent cx="5592726" cy="1471482"/>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8763" t="33332" r="6362" b="26968"/>
                    <a:stretch/>
                  </pic:blipFill>
                  <pic:spPr bwMode="auto">
                    <a:xfrm>
                      <a:off x="0" y="0"/>
                      <a:ext cx="5708340" cy="1501901"/>
                    </a:xfrm>
                    <a:prstGeom prst="rect">
                      <a:avLst/>
                    </a:prstGeom>
                    <a:ln>
                      <a:noFill/>
                    </a:ln>
                    <a:extLst>
                      <a:ext uri="{53640926-AAD7-44D8-BBD7-CCE9431645EC}">
                        <a14:shadowObscured xmlns:a14="http://schemas.microsoft.com/office/drawing/2010/main"/>
                      </a:ext>
                    </a:extLst>
                  </pic:spPr>
                </pic:pic>
              </a:graphicData>
            </a:graphic>
          </wp:inline>
        </w:drawing>
      </w:r>
    </w:p>
    <w:p>
      <w:pPr>
        <w:jc w:val="both"/>
        <w:rPr>
          <w:rFonts w:ascii="Times New Roman" w:hAnsi="Times New Roman" w:cs="Times New Roman"/>
          <w:noProof/>
          <w:sz w:val="20"/>
          <w:szCs w:val="20"/>
        </w:rPr>
      </w:pPr>
      <w:r>
        <w:rPr>
          <w:rFonts w:ascii="Times New Roman" w:hAnsi="Times New Roman" w:cs="Times New Roman"/>
          <w:i/>
          <w:noProof/>
          <w:sz w:val="20"/>
          <w:szCs w:val="20"/>
        </w:rPr>
        <w:t>Source</w:t>
      </w:r>
      <w:r>
        <w:rPr>
          <w:rFonts w:ascii="Times New Roman" w:hAnsi="Times New Roman" w:cs="Times New Roman"/>
          <w:noProof/>
          <w:sz w:val="20"/>
          <w:szCs w:val="20"/>
        </w:rPr>
        <w:t xml:space="preserve">: European Commission/EACEA/Eurydice (2017), </w:t>
      </w:r>
      <w:r>
        <w:rPr>
          <w:rFonts w:ascii="Times New Roman" w:hAnsi="Times New Roman" w:cs="Times New Roman"/>
          <w:i/>
          <w:noProof/>
          <w:sz w:val="20"/>
          <w:szCs w:val="20"/>
        </w:rPr>
        <w:t>Key Data on Teaching Languages at School in Europe, 2017</w:t>
      </w:r>
      <w:r>
        <w:rPr>
          <w:rFonts w:ascii="Times New Roman" w:hAnsi="Times New Roman" w:cs="Times New Roman"/>
          <w:noProof/>
          <w:sz w:val="20"/>
          <w:szCs w:val="20"/>
        </w:rPr>
        <w:t>, page 102</w:t>
      </w:r>
    </w:p>
    <w:p>
      <w:pPr>
        <w:jc w:val="both"/>
        <w:rPr>
          <w:rFonts w:ascii="EC Square Sans Pro" w:hAnsi="EC Square Sans Pro"/>
          <w:noProof/>
          <w:sz w:val="24"/>
          <w:szCs w:val="24"/>
        </w:rPr>
      </w:pPr>
      <w:r>
        <w:rPr>
          <w:rFonts w:ascii="Times New Roman" w:hAnsi="Times New Roman" w:cs="Times New Roman"/>
          <w:i/>
          <w:noProof/>
          <w:sz w:val="24"/>
          <w:szCs w:val="24"/>
        </w:rPr>
        <w:t>Explanatory note</w:t>
      </w:r>
      <w:r>
        <w:rPr>
          <w:rFonts w:ascii="Times New Roman" w:hAnsi="Times New Roman" w:cs="Times New Roman"/>
          <w:noProof/>
          <w:sz w:val="24"/>
          <w:szCs w:val="24"/>
        </w:rPr>
        <w:t>: The values indicated in the Figure are an estimation based on the survey results. See Annexe 3 for the exact data and standard errors of the estimates</w:t>
      </w:r>
      <w:r>
        <w:rPr>
          <w:rFonts w:ascii="EC Square Sans Pro" w:hAnsi="EC Square Sans Pro"/>
          <w:noProof/>
          <w:sz w:val="24"/>
          <w:szCs w:val="24"/>
        </w:rPr>
        <w:t>.</w:t>
      </w:r>
    </w:p>
    <w:p>
      <w:pPr>
        <w:jc w:val="both"/>
        <w:rPr>
          <w:rFonts w:ascii="EC Square Sans Pro" w:hAnsi="EC Square Sans Pro"/>
          <w:b/>
          <w:noProof/>
          <w:sz w:val="20"/>
          <w:szCs w:val="20"/>
        </w:rPr>
      </w:pPr>
      <w:r>
        <w:rPr>
          <w:rFonts w:ascii="EC Square Sans Pro" w:hAnsi="EC Square Sans Pro"/>
          <w:noProof/>
          <w:sz w:val="20"/>
          <w:szCs w:val="20"/>
          <w:lang w:val="en-US"/>
        </w:rPr>
        <w:drawing>
          <wp:anchor distT="0" distB="0" distL="114300" distR="114300" simplePos="0" relativeHeight="251659264" behindDoc="0" locked="0" layoutInCell="1" allowOverlap="1">
            <wp:simplePos x="0" y="0"/>
            <wp:positionH relativeFrom="column">
              <wp:posOffset>-375920</wp:posOffset>
            </wp:positionH>
            <wp:positionV relativeFrom="paragraph">
              <wp:posOffset>586105</wp:posOffset>
            </wp:positionV>
            <wp:extent cx="6505399" cy="3105150"/>
            <wp:effectExtent l="0" t="0" r="0" b="0"/>
            <wp:wrapTopAndBottom/>
            <wp:docPr id="9" name="Picture 9" descr="\\NET1.cec.eu.int\homes\102\plonsag\Desktop\jezyki raport\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T1.cec.eu.int\homes\102\plonsag\Desktop\jezyki raport\Untitled.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505399" cy="3105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EC Square Sans Pro" w:hAnsi="EC Square Sans Pro"/>
          <w:noProof/>
          <w:sz w:val="20"/>
          <w:szCs w:val="20"/>
        </w:rPr>
        <w:t xml:space="preserve"> </w:t>
      </w:r>
      <w:r>
        <w:rPr>
          <w:rFonts w:ascii="EC Square Sans Pro" w:hAnsi="EC Square Sans Pro"/>
          <w:b/>
          <w:noProof/>
          <w:sz w:val="20"/>
          <w:szCs w:val="20"/>
        </w:rPr>
        <w:t>Figure 8: Language learning support measures for migrant students in mainstream education, primary and lower secondary education, 2015/16</w:t>
      </w:r>
    </w:p>
    <w:p>
      <w:pPr>
        <w:jc w:val="center"/>
        <w:rPr>
          <w:rFonts w:ascii="EC Square Sans Pro" w:hAnsi="EC Square Sans Pro"/>
          <w:noProof/>
          <w:sz w:val="20"/>
          <w:szCs w:val="20"/>
        </w:rPr>
      </w:pPr>
    </w:p>
    <w:p>
      <w:pPr>
        <w:jc w:val="both"/>
        <w:rPr>
          <w:rFonts w:ascii="Times New Roman" w:hAnsi="Times New Roman" w:cs="Times New Roman"/>
          <w:noProof/>
          <w:sz w:val="20"/>
          <w:szCs w:val="20"/>
        </w:rPr>
      </w:pPr>
      <w:r>
        <w:rPr>
          <w:rFonts w:ascii="Times New Roman" w:hAnsi="Times New Roman" w:cs="Times New Roman"/>
          <w:i/>
          <w:noProof/>
          <w:sz w:val="20"/>
          <w:szCs w:val="20"/>
        </w:rPr>
        <w:t>Source</w:t>
      </w:r>
      <w:r>
        <w:rPr>
          <w:rFonts w:ascii="Times New Roman" w:hAnsi="Times New Roman" w:cs="Times New Roman"/>
          <w:noProof/>
          <w:sz w:val="20"/>
          <w:szCs w:val="20"/>
        </w:rPr>
        <w:t xml:space="preserve">: European Commission/EACEA/Eurydice (2017), </w:t>
      </w:r>
      <w:r>
        <w:rPr>
          <w:rFonts w:ascii="Times New Roman" w:hAnsi="Times New Roman" w:cs="Times New Roman"/>
          <w:i/>
          <w:noProof/>
          <w:sz w:val="20"/>
          <w:szCs w:val="20"/>
        </w:rPr>
        <w:t>Key Data on Teaching Languages at School in Europe, 2017</w:t>
      </w:r>
      <w:r>
        <w:rPr>
          <w:rFonts w:ascii="Times New Roman" w:hAnsi="Times New Roman" w:cs="Times New Roman"/>
          <w:noProof/>
          <w:sz w:val="20"/>
          <w:szCs w:val="20"/>
        </w:rPr>
        <w:t>, page 137</w:t>
      </w:r>
    </w:p>
    <w:p>
      <w:pPr>
        <w:jc w:val="both"/>
        <w:rPr>
          <w:rFonts w:ascii="Times New Roman" w:hAnsi="Times New Roman" w:cs="Times New Roman"/>
          <w:noProof/>
          <w:sz w:val="24"/>
          <w:szCs w:val="24"/>
        </w:rPr>
      </w:pPr>
      <w:r>
        <w:rPr>
          <w:rFonts w:ascii="Times New Roman" w:hAnsi="Times New Roman" w:cs="Times New Roman"/>
          <w:i/>
          <w:noProof/>
          <w:sz w:val="24"/>
          <w:szCs w:val="24"/>
        </w:rPr>
        <w:t>Explanatory note</w:t>
      </w:r>
      <w:r>
        <w:rPr>
          <w:rFonts w:ascii="Times New Roman" w:hAnsi="Times New Roman" w:cs="Times New Roman"/>
          <w:noProof/>
          <w:sz w:val="24"/>
          <w:szCs w:val="24"/>
        </w:rPr>
        <w:t>: Only measures recommended/required by central education authorities or measures financially supported by central education authorities are shown. For example, mother tongue courses organised by embassies or other institutions set up by the country of origin of migrants are not considered.</w:t>
      </w:r>
    </w:p>
    <w:p>
      <w:pPr>
        <w:jc w:val="both"/>
        <w:rPr>
          <w:rFonts w:ascii="EC Square Sans Pro" w:hAnsi="EC Square Sans Pro"/>
          <w:noProof/>
          <w:sz w:val="20"/>
          <w:szCs w:val="20"/>
        </w:rPr>
      </w:pPr>
    </w:p>
    <w:p>
      <w:pPr>
        <w:jc w:val="both"/>
        <w:rPr>
          <w:rFonts w:ascii="EC Square Sans Pro" w:hAnsi="EC Square Sans Pro"/>
          <w:noProof/>
          <w:sz w:val="20"/>
          <w:szCs w:val="20"/>
        </w:rPr>
      </w:pPr>
    </w:p>
    <w:p>
      <w:pPr>
        <w:jc w:val="both"/>
        <w:rPr>
          <w:rFonts w:ascii="EC Square Sans Pro" w:hAnsi="EC Square Sans Pro"/>
          <w:noProof/>
          <w:sz w:val="20"/>
          <w:szCs w:val="20"/>
        </w:rPr>
      </w:pPr>
    </w:p>
    <w:p>
      <w:pPr>
        <w:jc w:val="both"/>
        <w:rPr>
          <w:rFonts w:ascii="EC Square Sans Pro" w:hAnsi="EC Square Sans Pro"/>
          <w:noProof/>
          <w:sz w:val="20"/>
          <w:szCs w:val="20"/>
        </w:rPr>
      </w:pPr>
    </w:p>
    <w:p>
      <w:pPr>
        <w:jc w:val="both"/>
        <w:rPr>
          <w:rFonts w:ascii="EC Square Sans Pro" w:hAnsi="EC Square Sans Pro"/>
          <w:noProof/>
          <w:sz w:val="20"/>
          <w:szCs w:val="20"/>
        </w:rPr>
      </w:pPr>
    </w:p>
    <w:p>
      <w:pPr>
        <w:autoSpaceDE w:val="0"/>
        <w:autoSpaceDN w:val="0"/>
        <w:adjustRightInd w:val="0"/>
        <w:spacing w:before="120" w:after="120" w:line="240" w:lineRule="auto"/>
        <w:jc w:val="both"/>
        <w:rPr>
          <w:rFonts w:ascii="Times New Roman" w:hAnsi="Times New Roman" w:cs="Times New Roman"/>
          <w:b/>
          <w:noProof/>
          <w:sz w:val="24"/>
          <w:szCs w:val="24"/>
        </w:rPr>
      </w:pPr>
    </w:p>
    <w:p>
      <w:pPr>
        <w:jc w:val="both"/>
        <w:rPr>
          <w:rFonts w:ascii="Times New Roman" w:hAnsi="Times New Roman" w:cs="Times New Roman"/>
          <w:noProof/>
          <w:sz w:val="24"/>
          <w:szCs w:val="24"/>
        </w:rPr>
      </w:pPr>
    </w:p>
    <w:sectPr>
      <w:headerReference w:type="even" r:id="rId43"/>
      <w:headerReference w:type="default" r:id="rId44"/>
      <w:footerReference w:type="even" r:id="rId45"/>
      <w:footerReference w:type="default" r:id="rId46"/>
      <w:headerReference w:type="first" r:id="rId47"/>
      <w:footerReference w:type="first" r:id="rId48"/>
      <w:pgSz w:w="11906" w:h="16838"/>
      <w:pgMar w:top="1134" w:right="1417" w:bottom="1134" w:left="1417"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EC Square Sans Pro">
    <w:altName w:val="Segoe UI"/>
    <w:charset w:val="00"/>
    <w:family w:val="swiss"/>
    <w:pitch w:val="variable"/>
    <w:sig w:usb0="00000001" w:usb1="5000E0FB" w:usb2="00000000" w:usb3="00000000" w:csb0="0000019F" w:csb1="00000000"/>
  </w:font>
  <w:font w:name="Arial,Bold">
    <w:panose1 w:val="00000000000000000000"/>
    <w:charset w:val="00"/>
    <w:family w:val="swiss"/>
    <w:notTrueType/>
    <w:pitch w:val="default"/>
    <w:sig w:usb0="00000003" w:usb1="00000000" w:usb2="00000000" w:usb3="00000000" w:csb0="00000001" w:csb1="00000000"/>
  </w:font>
  <w:font w:name="Arial,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0439604"/>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6</w:t>
        </w:r>
        <w:r>
          <w:rPr>
            <w:noProof/>
          </w:rPr>
          <w:fldChar w:fldCharType="end"/>
        </w:r>
      </w:p>
    </w:sdtContent>
  </w:sdt>
  <w:p>
    <w:pPr>
      <w:pStyle w:val="FooterCoverPage"/>
      <w:rPr>
        <w:rFonts w:ascii="Arial" w:hAnsi="Arial" w:cs="Arial"/>
        <w:b/>
        <w:sz w:val="48"/>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5032703"/>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8</w:t>
        </w:r>
        <w:r>
          <w:rPr>
            <w:noProof/>
          </w:rPr>
          <w:fldChar w:fldCharType="end"/>
        </w:r>
      </w:p>
    </w:sdtContent>
  </w:sdt>
  <w:p>
    <w:pPr>
      <w:pStyle w:val="FooterCoverPage"/>
      <w:rPr>
        <w:rFonts w:ascii="Arial" w:hAnsi="Arial" w:cs="Arial"/>
        <w:b/>
        <w:sz w:val="48"/>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6501485"/>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pPr>
      <w:pStyle w:val="FooterCoverPage"/>
      <w:rPr>
        <w:rFonts w:ascii="Arial" w:hAnsi="Arial" w:cs="Arial"/>
        <w:b/>
        <w:sz w:val="4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824565"/>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pPr>
      <w:pStyle w:val="FooterCoverPage"/>
      <w:rPr>
        <w:rFonts w:ascii="Arial" w:hAnsi="Arial" w:cs="Arial"/>
        <w:b/>
        <w:sz w:val="48"/>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3C78B8"/>
    <w:multiLevelType w:val="multilevel"/>
    <w:tmpl w:val="2ED4F4D0"/>
    <w:name w:val="Point"/>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1">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revisionView w:markup="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E93328CB-6642-47A4-A402-F473F27C727D"/>
    <w:docVar w:name="LW_COVERPAGE_TYPE" w:val="1"/>
    <w:docVar w:name="LW_CROSSREFERENCE" w:val="{COM(2018) 272 final}"/>
    <w:docVar w:name="LW_DocType" w:val="NORMAL"/>
    <w:docVar w:name="LW_EMISSION" w:val="22.5.2018"/>
    <w:docVar w:name="LW_EMISSION_ISODATE" w:val="2018-05-22"/>
    <w:docVar w:name="LW_EMISSION_LOCATION" w:val="BRX"/>
    <w:docVar w:name="LW_EMISSION_PREFIX" w:val="Brussels, "/>
    <w:docVar w:name="LW_EMISSION_SUFFIX" w:val="&lt;EMPTY&gt;"/>
    <w:docVar w:name="LW_ID_DOCTYPE_NONLW" w:val="CP-025"/>
    <w:docVar w:name="LW_LANGUE" w:val="EN"/>
    <w:docVar w:name="LW_LEVEL_OF_SENSITIVITY" w:val="Standard treatment"/>
    <w:docVar w:name="LW_NOM.INST" w:val="EUROPEAN COMMISSION"/>
    <w:docVar w:name="LW_NOM.INST_JOINTDOC" w:val="&lt;EMPTY&gt;"/>
    <w:docVar w:name="LW_OBJETACTEPRINCIPAL.CP" w:val="on a comprehensive approach to the teaching and learning of languages"/>
    <w:docVar w:name="LW_PART_NBR" w:val="2"/>
    <w:docVar w:name="LW_PART_NBR_TOTAL" w:val="2"/>
    <w:docVar w:name="LW_REF.INST.NEW" w:val="SWD"/>
    <w:docVar w:name="LW_REF.INST.NEW_ADOPTED" w:val="final"/>
    <w:docVar w:name="LW_REF.INST.NEW_TEXT" w:val="(2018) 174"/>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lt;UNUSED&gt;"/>
    <w:docVar w:name="LW_TYPE.DOC.CP" w:val="COMMISSION STAFF WORKING DOCUMENT"/>
    <w:docVar w:name="LW_TYPEACTEPRINCIPAL.CP" w:val="Proposal for a Council Recommendation "/>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oint0number">
    <w:name w:val="Point 0 (number)"/>
    <w:basedOn w:val="Normal"/>
    <w:pPr>
      <w:numPr>
        <w:numId w:val="1"/>
      </w:numPr>
      <w:spacing w:before="120" w:after="120" w:line="240" w:lineRule="auto"/>
      <w:jc w:val="both"/>
    </w:pPr>
    <w:rPr>
      <w:rFonts w:ascii="Times New Roman" w:hAnsi="Times New Roman" w:cs="Times New Roman"/>
      <w:sz w:val="24"/>
    </w:rPr>
  </w:style>
  <w:style w:type="paragraph" w:customStyle="1" w:styleId="Point1number">
    <w:name w:val="Point 1 (number)"/>
    <w:basedOn w:val="Normal"/>
    <w:pPr>
      <w:numPr>
        <w:ilvl w:val="2"/>
        <w:numId w:val="1"/>
      </w:numPr>
      <w:spacing w:before="120" w:after="120" w:line="240" w:lineRule="auto"/>
      <w:jc w:val="both"/>
    </w:pPr>
    <w:rPr>
      <w:rFonts w:ascii="Times New Roman" w:hAnsi="Times New Roman" w:cs="Times New Roman"/>
      <w:sz w:val="24"/>
    </w:rPr>
  </w:style>
  <w:style w:type="paragraph" w:customStyle="1" w:styleId="Point2number">
    <w:name w:val="Point 2 (number)"/>
    <w:basedOn w:val="Normal"/>
    <w:pPr>
      <w:numPr>
        <w:ilvl w:val="4"/>
        <w:numId w:val="1"/>
      </w:numPr>
      <w:spacing w:before="120" w:after="120" w:line="240" w:lineRule="auto"/>
      <w:jc w:val="both"/>
    </w:pPr>
    <w:rPr>
      <w:rFonts w:ascii="Times New Roman" w:hAnsi="Times New Roman" w:cs="Times New Roman"/>
      <w:sz w:val="24"/>
    </w:rPr>
  </w:style>
  <w:style w:type="paragraph" w:customStyle="1" w:styleId="Point3number">
    <w:name w:val="Point 3 (number)"/>
    <w:basedOn w:val="Normal"/>
    <w:pPr>
      <w:numPr>
        <w:ilvl w:val="6"/>
        <w:numId w:val="1"/>
      </w:numPr>
      <w:spacing w:before="120" w:after="120" w:line="240" w:lineRule="auto"/>
      <w:jc w:val="both"/>
    </w:pPr>
    <w:rPr>
      <w:rFonts w:ascii="Times New Roman" w:hAnsi="Times New Roman" w:cs="Times New Roman"/>
      <w:sz w:val="24"/>
    </w:rPr>
  </w:style>
  <w:style w:type="paragraph" w:customStyle="1" w:styleId="Point0letter">
    <w:name w:val="Point 0 (letter)"/>
    <w:basedOn w:val="Normal"/>
    <w:pPr>
      <w:numPr>
        <w:ilvl w:val="1"/>
        <w:numId w:val="1"/>
      </w:numPr>
      <w:spacing w:before="120" w:after="120" w:line="240" w:lineRule="auto"/>
      <w:jc w:val="both"/>
    </w:pPr>
    <w:rPr>
      <w:rFonts w:ascii="Times New Roman" w:hAnsi="Times New Roman" w:cs="Times New Roman"/>
      <w:sz w:val="24"/>
    </w:rPr>
  </w:style>
  <w:style w:type="paragraph" w:customStyle="1" w:styleId="Point1letter">
    <w:name w:val="Point 1 (letter)"/>
    <w:basedOn w:val="Normal"/>
    <w:pPr>
      <w:numPr>
        <w:ilvl w:val="3"/>
        <w:numId w:val="1"/>
      </w:numPr>
      <w:spacing w:before="120" w:after="120" w:line="240" w:lineRule="auto"/>
      <w:jc w:val="both"/>
    </w:pPr>
    <w:rPr>
      <w:rFonts w:ascii="Times New Roman" w:hAnsi="Times New Roman" w:cs="Times New Roman"/>
      <w:sz w:val="24"/>
    </w:rPr>
  </w:style>
  <w:style w:type="paragraph" w:customStyle="1" w:styleId="Point2letter">
    <w:name w:val="Point 2 (letter)"/>
    <w:basedOn w:val="Normal"/>
    <w:pPr>
      <w:numPr>
        <w:ilvl w:val="5"/>
        <w:numId w:val="1"/>
      </w:numPr>
      <w:spacing w:before="120" w:after="120" w:line="240" w:lineRule="auto"/>
      <w:jc w:val="both"/>
    </w:pPr>
    <w:rPr>
      <w:rFonts w:ascii="Times New Roman" w:hAnsi="Times New Roman" w:cs="Times New Roman"/>
      <w:sz w:val="24"/>
    </w:rPr>
  </w:style>
  <w:style w:type="paragraph" w:customStyle="1" w:styleId="Point3letter">
    <w:name w:val="Point 3 (letter)"/>
    <w:basedOn w:val="Normal"/>
    <w:pPr>
      <w:numPr>
        <w:ilvl w:val="7"/>
        <w:numId w:val="1"/>
      </w:numPr>
      <w:spacing w:before="120" w:after="120" w:line="240" w:lineRule="auto"/>
      <w:jc w:val="both"/>
    </w:pPr>
    <w:rPr>
      <w:rFonts w:ascii="Times New Roman" w:hAnsi="Times New Roman" w:cs="Times New Roman"/>
      <w:sz w:val="24"/>
    </w:rPr>
  </w:style>
  <w:style w:type="paragraph" w:customStyle="1" w:styleId="Point4letter">
    <w:name w:val="Point 4 (letter)"/>
    <w:basedOn w:val="Normal"/>
    <w:pPr>
      <w:numPr>
        <w:ilvl w:val="8"/>
        <w:numId w:val="1"/>
      </w:numPr>
      <w:spacing w:before="120" w:after="120" w:line="240" w:lineRule="auto"/>
      <w:jc w:val="both"/>
    </w:pPr>
    <w:rPr>
      <w:rFonts w:ascii="Times New Roman" w:hAnsi="Times New Roman" w:cs="Times New Roman"/>
      <w:sz w:val="24"/>
    </w:rPr>
  </w:style>
  <w:style w:type="paragraph" w:customStyle="1" w:styleId="NumPar1">
    <w:name w:val="NumPar 1"/>
    <w:basedOn w:val="Normal"/>
    <w:next w:val="Normal"/>
    <w:pPr>
      <w:numPr>
        <w:numId w:val="3"/>
      </w:numPr>
      <w:spacing w:before="120" w:after="120" w:line="240" w:lineRule="auto"/>
      <w:jc w:val="both"/>
    </w:pPr>
    <w:rPr>
      <w:rFonts w:ascii="Times New Roman" w:hAnsi="Times New Roman" w:cs="Times New Roman"/>
      <w:sz w:val="24"/>
    </w:rPr>
  </w:style>
  <w:style w:type="paragraph" w:customStyle="1" w:styleId="NumPar2">
    <w:name w:val="NumPar 2"/>
    <w:basedOn w:val="Normal"/>
    <w:next w:val="Normal"/>
    <w:pPr>
      <w:numPr>
        <w:ilvl w:val="1"/>
        <w:numId w:val="3"/>
      </w:numPr>
      <w:spacing w:before="120" w:after="120" w:line="240" w:lineRule="auto"/>
      <w:jc w:val="both"/>
    </w:pPr>
    <w:rPr>
      <w:rFonts w:ascii="Times New Roman" w:hAnsi="Times New Roman" w:cs="Times New Roman"/>
      <w:sz w:val="24"/>
    </w:rPr>
  </w:style>
  <w:style w:type="paragraph" w:customStyle="1" w:styleId="NumPar3">
    <w:name w:val="NumPar 3"/>
    <w:basedOn w:val="Normal"/>
    <w:next w:val="Normal"/>
    <w:pPr>
      <w:numPr>
        <w:ilvl w:val="2"/>
        <w:numId w:val="3"/>
      </w:numPr>
      <w:spacing w:before="120" w:after="120" w:line="240" w:lineRule="auto"/>
      <w:jc w:val="both"/>
    </w:pPr>
    <w:rPr>
      <w:rFonts w:ascii="Times New Roman" w:hAnsi="Times New Roman" w:cs="Times New Roman"/>
      <w:sz w:val="24"/>
    </w:rPr>
  </w:style>
  <w:style w:type="paragraph" w:customStyle="1" w:styleId="NumPar4">
    <w:name w:val="NumPar 4"/>
    <w:basedOn w:val="Normal"/>
    <w:next w:val="Normal"/>
    <w:pPr>
      <w:numPr>
        <w:ilvl w:val="3"/>
        <w:numId w:val="3"/>
      </w:numPr>
      <w:spacing w:before="120" w:after="120" w:line="240" w:lineRule="auto"/>
      <w:jc w:val="both"/>
    </w:pPr>
    <w:rPr>
      <w:rFonts w:ascii="Times New Roman" w:hAnsi="Times New Roman" w:cs="Times New Roman"/>
      <w:sz w:val="24"/>
    </w:rPr>
  </w:style>
  <w:style w:type="character" w:styleId="Hyperlink">
    <w:name w:val="Hyperlink"/>
    <w:basedOn w:val="DefaultParagraphFont"/>
    <w:uiPriority w:val="99"/>
    <w:rPr>
      <w:rFonts w:cs="Times New Roman"/>
      <w:color w:val="0000FF"/>
      <w:u w:val="single"/>
    </w:rPr>
  </w:style>
  <w:style w:type="character" w:styleId="FootnoteReference">
    <w:name w:val="footnote reference"/>
    <w:basedOn w:val="DefaultParagraphFont"/>
    <w:uiPriority w:val="99"/>
    <w:unhideWhenUsed/>
    <w:rPr>
      <w:shd w:val="clear" w:color="auto" w:fill="auto"/>
      <w:vertAlign w:val="superscript"/>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pPr>
      <w:outlineLvl w:val="9"/>
    </w:pPr>
    <w:rPr>
      <w:lang w:val="en-US" w:eastAsia="ja-JP"/>
    </w:rPr>
  </w:style>
  <w:style w:type="paragraph" w:styleId="TOC1">
    <w:name w:val="toc 1"/>
    <w:basedOn w:val="Normal"/>
    <w:next w:val="Normal"/>
    <w:autoRedefine/>
    <w:uiPriority w:val="39"/>
    <w:unhideWhenUsed/>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oint0number">
    <w:name w:val="Point 0 (number)"/>
    <w:basedOn w:val="Normal"/>
    <w:pPr>
      <w:numPr>
        <w:numId w:val="1"/>
      </w:numPr>
      <w:spacing w:before="120" w:after="120" w:line="240" w:lineRule="auto"/>
      <w:jc w:val="both"/>
    </w:pPr>
    <w:rPr>
      <w:rFonts w:ascii="Times New Roman" w:hAnsi="Times New Roman" w:cs="Times New Roman"/>
      <w:sz w:val="24"/>
    </w:rPr>
  </w:style>
  <w:style w:type="paragraph" w:customStyle="1" w:styleId="Point1number">
    <w:name w:val="Point 1 (number)"/>
    <w:basedOn w:val="Normal"/>
    <w:pPr>
      <w:numPr>
        <w:ilvl w:val="2"/>
        <w:numId w:val="1"/>
      </w:numPr>
      <w:spacing w:before="120" w:after="120" w:line="240" w:lineRule="auto"/>
      <w:jc w:val="both"/>
    </w:pPr>
    <w:rPr>
      <w:rFonts w:ascii="Times New Roman" w:hAnsi="Times New Roman" w:cs="Times New Roman"/>
      <w:sz w:val="24"/>
    </w:rPr>
  </w:style>
  <w:style w:type="paragraph" w:customStyle="1" w:styleId="Point2number">
    <w:name w:val="Point 2 (number)"/>
    <w:basedOn w:val="Normal"/>
    <w:pPr>
      <w:numPr>
        <w:ilvl w:val="4"/>
        <w:numId w:val="1"/>
      </w:numPr>
      <w:spacing w:before="120" w:after="120" w:line="240" w:lineRule="auto"/>
      <w:jc w:val="both"/>
    </w:pPr>
    <w:rPr>
      <w:rFonts w:ascii="Times New Roman" w:hAnsi="Times New Roman" w:cs="Times New Roman"/>
      <w:sz w:val="24"/>
    </w:rPr>
  </w:style>
  <w:style w:type="paragraph" w:customStyle="1" w:styleId="Point3number">
    <w:name w:val="Point 3 (number)"/>
    <w:basedOn w:val="Normal"/>
    <w:pPr>
      <w:numPr>
        <w:ilvl w:val="6"/>
        <w:numId w:val="1"/>
      </w:numPr>
      <w:spacing w:before="120" w:after="120" w:line="240" w:lineRule="auto"/>
      <w:jc w:val="both"/>
    </w:pPr>
    <w:rPr>
      <w:rFonts w:ascii="Times New Roman" w:hAnsi="Times New Roman" w:cs="Times New Roman"/>
      <w:sz w:val="24"/>
    </w:rPr>
  </w:style>
  <w:style w:type="paragraph" w:customStyle="1" w:styleId="Point0letter">
    <w:name w:val="Point 0 (letter)"/>
    <w:basedOn w:val="Normal"/>
    <w:pPr>
      <w:numPr>
        <w:ilvl w:val="1"/>
        <w:numId w:val="1"/>
      </w:numPr>
      <w:spacing w:before="120" w:after="120" w:line="240" w:lineRule="auto"/>
      <w:jc w:val="both"/>
    </w:pPr>
    <w:rPr>
      <w:rFonts w:ascii="Times New Roman" w:hAnsi="Times New Roman" w:cs="Times New Roman"/>
      <w:sz w:val="24"/>
    </w:rPr>
  </w:style>
  <w:style w:type="paragraph" w:customStyle="1" w:styleId="Point1letter">
    <w:name w:val="Point 1 (letter)"/>
    <w:basedOn w:val="Normal"/>
    <w:pPr>
      <w:numPr>
        <w:ilvl w:val="3"/>
        <w:numId w:val="1"/>
      </w:numPr>
      <w:spacing w:before="120" w:after="120" w:line="240" w:lineRule="auto"/>
      <w:jc w:val="both"/>
    </w:pPr>
    <w:rPr>
      <w:rFonts w:ascii="Times New Roman" w:hAnsi="Times New Roman" w:cs="Times New Roman"/>
      <w:sz w:val="24"/>
    </w:rPr>
  </w:style>
  <w:style w:type="paragraph" w:customStyle="1" w:styleId="Point2letter">
    <w:name w:val="Point 2 (letter)"/>
    <w:basedOn w:val="Normal"/>
    <w:pPr>
      <w:numPr>
        <w:ilvl w:val="5"/>
        <w:numId w:val="1"/>
      </w:numPr>
      <w:spacing w:before="120" w:after="120" w:line="240" w:lineRule="auto"/>
      <w:jc w:val="both"/>
    </w:pPr>
    <w:rPr>
      <w:rFonts w:ascii="Times New Roman" w:hAnsi="Times New Roman" w:cs="Times New Roman"/>
      <w:sz w:val="24"/>
    </w:rPr>
  </w:style>
  <w:style w:type="paragraph" w:customStyle="1" w:styleId="Point3letter">
    <w:name w:val="Point 3 (letter)"/>
    <w:basedOn w:val="Normal"/>
    <w:pPr>
      <w:numPr>
        <w:ilvl w:val="7"/>
        <w:numId w:val="1"/>
      </w:numPr>
      <w:spacing w:before="120" w:after="120" w:line="240" w:lineRule="auto"/>
      <w:jc w:val="both"/>
    </w:pPr>
    <w:rPr>
      <w:rFonts w:ascii="Times New Roman" w:hAnsi="Times New Roman" w:cs="Times New Roman"/>
      <w:sz w:val="24"/>
    </w:rPr>
  </w:style>
  <w:style w:type="paragraph" w:customStyle="1" w:styleId="Point4letter">
    <w:name w:val="Point 4 (letter)"/>
    <w:basedOn w:val="Normal"/>
    <w:pPr>
      <w:numPr>
        <w:ilvl w:val="8"/>
        <w:numId w:val="1"/>
      </w:numPr>
      <w:spacing w:before="120" w:after="120" w:line="240" w:lineRule="auto"/>
      <w:jc w:val="both"/>
    </w:pPr>
    <w:rPr>
      <w:rFonts w:ascii="Times New Roman" w:hAnsi="Times New Roman" w:cs="Times New Roman"/>
      <w:sz w:val="24"/>
    </w:rPr>
  </w:style>
  <w:style w:type="paragraph" w:customStyle="1" w:styleId="NumPar1">
    <w:name w:val="NumPar 1"/>
    <w:basedOn w:val="Normal"/>
    <w:next w:val="Normal"/>
    <w:pPr>
      <w:numPr>
        <w:numId w:val="3"/>
      </w:numPr>
      <w:spacing w:before="120" w:after="120" w:line="240" w:lineRule="auto"/>
      <w:jc w:val="both"/>
    </w:pPr>
    <w:rPr>
      <w:rFonts w:ascii="Times New Roman" w:hAnsi="Times New Roman" w:cs="Times New Roman"/>
      <w:sz w:val="24"/>
    </w:rPr>
  </w:style>
  <w:style w:type="paragraph" w:customStyle="1" w:styleId="NumPar2">
    <w:name w:val="NumPar 2"/>
    <w:basedOn w:val="Normal"/>
    <w:next w:val="Normal"/>
    <w:pPr>
      <w:numPr>
        <w:ilvl w:val="1"/>
        <w:numId w:val="3"/>
      </w:numPr>
      <w:spacing w:before="120" w:after="120" w:line="240" w:lineRule="auto"/>
      <w:jc w:val="both"/>
    </w:pPr>
    <w:rPr>
      <w:rFonts w:ascii="Times New Roman" w:hAnsi="Times New Roman" w:cs="Times New Roman"/>
      <w:sz w:val="24"/>
    </w:rPr>
  </w:style>
  <w:style w:type="paragraph" w:customStyle="1" w:styleId="NumPar3">
    <w:name w:val="NumPar 3"/>
    <w:basedOn w:val="Normal"/>
    <w:next w:val="Normal"/>
    <w:pPr>
      <w:numPr>
        <w:ilvl w:val="2"/>
        <w:numId w:val="3"/>
      </w:numPr>
      <w:spacing w:before="120" w:after="120" w:line="240" w:lineRule="auto"/>
      <w:jc w:val="both"/>
    </w:pPr>
    <w:rPr>
      <w:rFonts w:ascii="Times New Roman" w:hAnsi="Times New Roman" w:cs="Times New Roman"/>
      <w:sz w:val="24"/>
    </w:rPr>
  </w:style>
  <w:style w:type="paragraph" w:customStyle="1" w:styleId="NumPar4">
    <w:name w:val="NumPar 4"/>
    <w:basedOn w:val="Normal"/>
    <w:next w:val="Normal"/>
    <w:pPr>
      <w:numPr>
        <w:ilvl w:val="3"/>
        <w:numId w:val="3"/>
      </w:numPr>
      <w:spacing w:before="120" w:after="120" w:line="240" w:lineRule="auto"/>
      <w:jc w:val="both"/>
    </w:pPr>
    <w:rPr>
      <w:rFonts w:ascii="Times New Roman" w:hAnsi="Times New Roman" w:cs="Times New Roman"/>
      <w:sz w:val="24"/>
    </w:rPr>
  </w:style>
  <w:style w:type="character" w:styleId="Hyperlink">
    <w:name w:val="Hyperlink"/>
    <w:basedOn w:val="DefaultParagraphFont"/>
    <w:uiPriority w:val="99"/>
    <w:rPr>
      <w:rFonts w:cs="Times New Roman"/>
      <w:color w:val="0000FF"/>
      <w:u w:val="single"/>
    </w:rPr>
  </w:style>
  <w:style w:type="character" w:styleId="FootnoteReference">
    <w:name w:val="footnote reference"/>
    <w:basedOn w:val="DefaultParagraphFont"/>
    <w:uiPriority w:val="99"/>
    <w:unhideWhenUsed/>
    <w:rPr>
      <w:shd w:val="clear" w:color="auto" w:fill="auto"/>
      <w:vertAlign w:val="superscript"/>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pPr>
      <w:outlineLvl w:val="9"/>
    </w:pPr>
    <w:rPr>
      <w:lang w:val="en-US" w:eastAsia="ja-JP"/>
    </w:rPr>
  </w:style>
  <w:style w:type="paragraph" w:styleId="TOC1">
    <w:name w:val="toc 1"/>
    <w:basedOn w:val="Normal"/>
    <w:next w:val="Normal"/>
    <w:autoRedefine/>
    <w:uiPriority w:val="39"/>
    <w:unhideWhenUsed/>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footer" Target="footer8.xml"/><Relationship Id="rId39" Type="http://schemas.openxmlformats.org/officeDocument/2006/relationships/footer" Target="footer12.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header" Target="header10.xml"/><Relationship Id="rId42" Type="http://schemas.openxmlformats.org/officeDocument/2006/relationships/image" Target="media/image10.png"/><Relationship Id="rId47" Type="http://schemas.openxmlformats.org/officeDocument/2006/relationships/header" Target="header15.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oter" Target="footer7.xml"/><Relationship Id="rId33" Type="http://schemas.openxmlformats.org/officeDocument/2006/relationships/image" Target="media/image7.png"/><Relationship Id="rId38" Type="http://schemas.openxmlformats.org/officeDocument/2006/relationships/header" Target="header12.xml"/><Relationship Id="rId46" Type="http://schemas.openxmlformats.org/officeDocument/2006/relationships/footer" Target="footer14.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image" Target="media/image3.png"/><Relationship Id="rId41"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image" Target="media/image6.png"/><Relationship Id="rId37" Type="http://schemas.openxmlformats.org/officeDocument/2006/relationships/footer" Target="footer11.xml"/><Relationship Id="rId40" Type="http://schemas.openxmlformats.org/officeDocument/2006/relationships/image" Target="media/image8.png"/><Relationship Id="rId45" Type="http://schemas.openxmlformats.org/officeDocument/2006/relationships/footer" Target="footer13.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footer" Target="footer9.xml"/><Relationship Id="rId36" Type="http://schemas.openxmlformats.org/officeDocument/2006/relationships/footer" Target="footer10.xml"/><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5.png"/><Relationship Id="rId44" Type="http://schemas.openxmlformats.org/officeDocument/2006/relationships/header" Target="header14.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2.png"/><Relationship Id="rId27" Type="http://schemas.openxmlformats.org/officeDocument/2006/relationships/header" Target="header9.xml"/><Relationship Id="rId30" Type="http://schemas.openxmlformats.org/officeDocument/2006/relationships/image" Target="media/image4.png"/><Relationship Id="rId35" Type="http://schemas.openxmlformats.org/officeDocument/2006/relationships/header" Target="header11.xml"/><Relationship Id="rId43" Type="http://schemas.openxmlformats.org/officeDocument/2006/relationships/header" Target="header13.xml"/><Relationship Id="rId48" Type="http://schemas.openxmlformats.org/officeDocument/2006/relationships/footer" Target="footer15.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5751CE-2983-4EAE-86BD-17CF339CCD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1125</Words>
  <Characters>6360</Characters>
  <Application>Microsoft Office Word</Application>
  <DocSecurity>0</DocSecurity>
  <Lines>132</Lines>
  <Paragraphs>42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7443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DIGIT/A3</cp:lastModifiedBy>
  <cp:revision>16</cp:revision>
  <dcterms:created xsi:type="dcterms:W3CDTF">2018-04-27T13:22:00Z</dcterms:created>
  <dcterms:modified xsi:type="dcterms:W3CDTF">2018-05-18T14:30:00Z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2</vt:lpwstr>
  </property>
  <property fmtid="{D5CDD505-2E9C-101B-9397-08002B2CF9AE}" pid="4" name="Total parts">
    <vt:lpwstr>2</vt:lpwstr>
  </property>
  <property fmtid="{D5CDD505-2E9C-101B-9397-08002B2CF9AE}" pid="5" name="DocStatus">
    <vt:lpwstr>Green</vt:lpwstr>
  </property>
</Properties>
</file>